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E32" w:rsidRDefault="00400A5F">
      <w:pPr>
        <w:tabs>
          <w:tab w:val="left" w:pos="1800"/>
          <w:tab w:val="right" w:pos="9072"/>
        </w:tabs>
        <w:spacing w:after="0" w:line="240" w:lineRule="auto"/>
        <w:rPr>
          <w:b/>
          <w:bCs/>
          <w:sz w:val="22"/>
          <w:szCs w:val="22"/>
        </w:rPr>
      </w:pPr>
      <w:r>
        <w:rPr>
          <w:b/>
          <w:bCs/>
          <w:sz w:val="22"/>
          <w:szCs w:val="22"/>
        </w:rPr>
        <w:t>3GPP TSG RAN WG1 #110                                                      R1-2206321</w:t>
      </w:r>
    </w:p>
    <w:p w:rsidR="002B1E32" w:rsidRDefault="00400A5F">
      <w:pPr>
        <w:spacing w:after="0" w:line="240" w:lineRule="auto"/>
        <w:rPr>
          <w:rFonts w:eastAsia="Batang"/>
          <w:sz w:val="22"/>
          <w:szCs w:val="22"/>
        </w:rPr>
      </w:pPr>
      <w:r>
        <w:rPr>
          <w:rFonts w:eastAsia="MS Mincho"/>
          <w:b/>
          <w:bCs/>
          <w:sz w:val="22"/>
          <w:szCs w:val="22"/>
        </w:rPr>
        <w:t>Toulouse, France, August 22</w:t>
      </w:r>
      <w:r>
        <w:rPr>
          <w:rFonts w:eastAsia="MS Mincho"/>
          <w:b/>
          <w:bCs/>
          <w:sz w:val="22"/>
          <w:szCs w:val="22"/>
          <w:vertAlign w:val="superscript"/>
        </w:rPr>
        <w:t>nd</w:t>
      </w:r>
      <w:r>
        <w:rPr>
          <w:rFonts w:eastAsia="MS Mincho"/>
          <w:b/>
          <w:bCs/>
          <w:sz w:val="22"/>
          <w:szCs w:val="22"/>
        </w:rPr>
        <w:t xml:space="preserve"> – 26</w:t>
      </w:r>
      <w:r>
        <w:rPr>
          <w:rFonts w:eastAsia="MS Mincho"/>
          <w:b/>
          <w:bCs/>
          <w:sz w:val="22"/>
          <w:szCs w:val="22"/>
          <w:vertAlign w:val="superscript"/>
        </w:rPr>
        <w:t>th</w:t>
      </w:r>
      <w:r>
        <w:rPr>
          <w:b/>
          <w:bCs/>
          <w:sz w:val="22"/>
          <w:szCs w:val="22"/>
        </w:rPr>
        <w:t>, 2022</w:t>
      </w:r>
    </w:p>
    <w:p w:rsidR="002B1E32" w:rsidRDefault="002B1E32">
      <w:pPr>
        <w:pStyle w:val="Header"/>
        <w:rPr>
          <w:rFonts w:ascii="Times New Roman" w:eastAsiaTheme="minorEastAsia" w:hAnsi="Times New Roman"/>
          <w:color w:val="000000" w:themeColor="text1"/>
          <w:sz w:val="22"/>
          <w:szCs w:val="22"/>
          <w:lang w:eastAsia="zh-CN"/>
        </w:rPr>
      </w:pPr>
    </w:p>
    <w:p w:rsidR="002B1E32" w:rsidRDefault="00400A5F">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2B1E32" w:rsidRDefault="00400A5F">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2B1E32" w:rsidRDefault="00400A5F">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2B1E32" w:rsidRDefault="00400A5F">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n and Decision</w:t>
      </w:r>
    </w:p>
    <w:p w:rsidR="002B1E32" w:rsidRDefault="002B1E32">
      <w:pPr>
        <w:pBdr>
          <w:bottom w:val="single" w:sz="4" w:space="1" w:color="auto"/>
        </w:pBdr>
        <w:tabs>
          <w:tab w:val="left" w:pos="2552"/>
        </w:tabs>
        <w:spacing w:after="156"/>
        <w:jc w:val="both"/>
        <w:rPr>
          <w:rFonts w:eastAsia="SimSun"/>
          <w:color w:val="000000" w:themeColor="text1"/>
          <w:lang w:eastAsia="zh-CN"/>
        </w:rPr>
      </w:pPr>
    </w:p>
    <w:p w:rsidR="002B1E32" w:rsidRDefault="00400A5F">
      <w:pPr>
        <w:pStyle w:val="Heading1"/>
        <w:rPr>
          <w:rFonts w:eastAsiaTheme="minorEastAsia"/>
          <w:color w:val="000000" w:themeColor="text1"/>
          <w:lang w:eastAsia="zh-CN"/>
        </w:rPr>
      </w:pPr>
      <w:r>
        <w:rPr>
          <w:rFonts w:eastAsiaTheme="minorEastAsia"/>
          <w:color w:val="000000" w:themeColor="text1"/>
          <w:lang w:eastAsia="zh-CN"/>
        </w:rPr>
        <w:t>Introduction</w:t>
      </w:r>
    </w:p>
    <w:p w:rsidR="002B1E32" w:rsidRDefault="00400A5F">
      <w:pPr>
        <w:spacing w:before="120"/>
      </w:pPr>
      <w:r>
        <w:t>The following agreements were captured in RAN1 Chairman notes in RAN1 #109-e meeting for NR duplex evaluation:</w:t>
      </w:r>
    </w:p>
    <w:tbl>
      <w:tblPr>
        <w:tblStyle w:val="TableGrid"/>
        <w:tblW w:w="0" w:type="auto"/>
        <w:tblLook w:val="04A0"/>
      </w:tblPr>
      <w:tblGrid>
        <w:gridCol w:w="9060"/>
      </w:tblGrid>
      <w:tr w:rsidR="002B1E32">
        <w:tc>
          <w:tcPr>
            <w:tcW w:w="9060" w:type="dxa"/>
          </w:tcPr>
          <w:p w:rsidR="002B1E32" w:rsidRDefault="00400A5F">
            <w:pPr>
              <w:spacing w:line="240" w:lineRule="auto"/>
              <w:rPr>
                <w:b/>
                <w:highlight w:val="green"/>
                <w:lang w:eastAsia="ko-KR"/>
              </w:rPr>
            </w:pPr>
            <w:r>
              <w:rPr>
                <w:b/>
                <w:highlight w:val="green"/>
                <w:lang w:eastAsia="ko-KR"/>
              </w:rPr>
              <w:t>Agreement</w:t>
            </w:r>
          </w:p>
          <w:p w:rsidR="002B1E32" w:rsidRDefault="00400A5F">
            <w:pPr>
              <w:spacing w:line="240" w:lineRule="auto"/>
              <w:rPr>
                <w:bCs/>
                <w:iCs/>
              </w:rPr>
            </w:pPr>
            <w:r>
              <w:rPr>
                <w:bCs/>
                <w:iCs/>
              </w:rPr>
              <w:t>Regarding traffic model for SBFD and dynamic/flexible TDD evaluation, at least FTP3 is considered. Performance evaluation comparison between different duplex modes (e.g., legacy static TDD vs. SBFD) should be performed based on the same amount of input traffic.</w:t>
            </w:r>
          </w:p>
          <w:p w:rsidR="002B1E32" w:rsidRDefault="00400A5F">
            <w:pPr>
              <w:pStyle w:val="ListParagraph"/>
              <w:numPr>
                <w:ilvl w:val="0"/>
                <w:numId w:val="4"/>
              </w:numPr>
              <w:spacing w:after="0" w:line="240" w:lineRule="auto"/>
              <w:jc w:val="left"/>
              <w:rPr>
                <w:bCs/>
              </w:rPr>
            </w:pPr>
            <w:r>
              <w:rPr>
                <w:rFonts w:hint="eastAsia"/>
                <w:bCs/>
              </w:rPr>
              <w:t>F</w:t>
            </w:r>
            <w:r>
              <w:rPr>
                <w:bCs/>
              </w:rPr>
              <w:t>FS: other traffic models, e.g., XR, VoIP</w:t>
            </w:r>
          </w:p>
          <w:p w:rsidR="002B1E32" w:rsidRDefault="00400A5F">
            <w:pPr>
              <w:pStyle w:val="ListParagraph"/>
              <w:numPr>
                <w:ilvl w:val="0"/>
                <w:numId w:val="4"/>
              </w:numPr>
              <w:spacing w:after="0" w:line="240" w:lineRule="auto"/>
              <w:jc w:val="left"/>
              <w:rPr>
                <w:bCs/>
              </w:rPr>
            </w:pPr>
            <w:r>
              <w:rPr>
                <w:rFonts w:hint="eastAsia"/>
                <w:bCs/>
              </w:rPr>
              <w:t>F</w:t>
            </w:r>
            <w:r>
              <w:rPr>
                <w:bCs/>
              </w:rPr>
              <w:t>FS: Packet size, traffic load, ratio of DL/UL traffic</w:t>
            </w:r>
          </w:p>
          <w:p w:rsidR="002B1E32" w:rsidRDefault="00400A5F">
            <w:pPr>
              <w:pStyle w:val="ListParagraph"/>
              <w:numPr>
                <w:ilvl w:val="0"/>
                <w:numId w:val="4"/>
              </w:numPr>
              <w:spacing w:after="0" w:line="240" w:lineRule="auto"/>
              <w:jc w:val="left"/>
              <w:rPr>
                <w:bCs/>
              </w:rPr>
            </w:pPr>
            <w:r>
              <w:rPr>
                <w:rFonts w:hint="eastAsia"/>
                <w:bCs/>
              </w:rPr>
              <w:t>F</w:t>
            </w:r>
            <w:r>
              <w:rPr>
                <w:bCs/>
              </w:rPr>
              <w:t>FS: additionally consider different amount of input traffic at least for adjacent-channel coexistence studies</w:t>
            </w:r>
          </w:p>
          <w:p w:rsidR="002B1E32" w:rsidRDefault="00400A5F">
            <w:pPr>
              <w:spacing w:line="240" w:lineRule="auto"/>
              <w:rPr>
                <w:b/>
                <w:highlight w:val="green"/>
                <w:lang w:eastAsia="ko-KR"/>
              </w:rPr>
            </w:pPr>
            <w:r>
              <w:rPr>
                <w:b/>
                <w:highlight w:val="green"/>
                <w:lang w:eastAsia="ko-KR"/>
              </w:rPr>
              <w:t>Agreement</w:t>
            </w:r>
          </w:p>
          <w:p w:rsidR="002B1E32" w:rsidRDefault="00400A5F">
            <w:pPr>
              <w:spacing w:line="240" w:lineRule="auto"/>
              <w:rPr>
                <w:szCs w:val="20"/>
              </w:rPr>
            </w:pPr>
            <w:r>
              <w:rPr>
                <w:szCs w:val="20"/>
              </w:rPr>
              <w:t>For performance evaluation and comparison between baseline legacy TDD operation and SBFD operation under SBFD Deployment Case 1 (Non-coexistence case with single SBFD subband configuration), consider the following alternatives:</w:t>
            </w:r>
          </w:p>
          <w:p w:rsidR="002B1E32" w:rsidRDefault="00400A5F">
            <w:pPr>
              <w:numPr>
                <w:ilvl w:val="0"/>
                <w:numId w:val="4"/>
              </w:numPr>
              <w:spacing w:after="0" w:line="240" w:lineRule="auto"/>
              <w:rPr>
                <w:szCs w:val="20"/>
              </w:rPr>
            </w:pPr>
            <w:r>
              <w:t xml:space="preserve">Alt 2 (No SBFD DL subband in the slots/symbols that correspond to UL slots/symbols in legacy TDD): </w:t>
            </w:r>
          </w:p>
          <w:p w:rsidR="002B1E32" w:rsidRDefault="00400A5F">
            <w:pPr>
              <w:numPr>
                <w:ilvl w:val="1"/>
                <w:numId w:val="4"/>
              </w:numPr>
              <w:spacing w:after="0" w:line="240" w:lineRule="auto"/>
            </w:pPr>
            <w:r>
              <w:rPr>
                <w:rFonts w:hint="eastAsia"/>
              </w:rPr>
              <w:t>L</w:t>
            </w:r>
            <w:r>
              <w:t>egacy TDD: Static TDD UL/DL configuration with {DDDSU}, where S=[12D:2G:0U]</w:t>
            </w:r>
          </w:p>
          <w:p w:rsidR="002B1E32" w:rsidRDefault="00400A5F">
            <w:pPr>
              <w:numPr>
                <w:ilvl w:val="1"/>
                <w:numId w:val="4"/>
              </w:numPr>
              <w:spacing w:after="0" w:line="240" w:lineRule="auto"/>
            </w:pPr>
            <w:r>
              <w:rPr>
                <w:rFonts w:hint="eastAsia"/>
              </w:rPr>
              <w:t>S</w:t>
            </w:r>
            <w:r>
              <w:t>BFD: Frame structure#2 (XXXXU), where X denotes a SBFD slot. In time domain, SBFD UL subband spans all the symbols in a SBFD slot. In frequency domain, SBFD UL subband is about [20%] of the channel bandwidth.</w:t>
            </w:r>
          </w:p>
          <w:p w:rsidR="002B1E32" w:rsidRDefault="00400A5F">
            <w:pPr>
              <w:numPr>
                <w:ilvl w:val="0"/>
                <w:numId w:val="4"/>
              </w:numPr>
              <w:spacing w:after="0" w:line="240" w:lineRule="auto"/>
            </w:pPr>
            <w:r>
              <w:t xml:space="preserve">Alt 4 (strive for the same UL/DL resource ratio between </w:t>
            </w:r>
            <w:r>
              <w:rPr>
                <w:rFonts w:hint="eastAsia"/>
              </w:rPr>
              <w:t>L</w:t>
            </w:r>
            <w:r>
              <w:t xml:space="preserve">egacy TDD and SBFD): </w:t>
            </w:r>
          </w:p>
          <w:p w:rsidR="002B1E32" w:rsidRDefault="00400A5F">
            <w:pPr>
              <w:numPr>
                <w:ilvl w:val="1"/>
                <w:numId w:val="4"/>
              </w:numPr>
              <w:spacing w:after="0" w:line="240" w:lineRule="auto"/>
            </w:pPr>
            <w:r>
              <w:rPr>
                <w:rFonts w:hint="eastAsia"/>
              </w:rPr>
              <w:t>L</w:t>
            </w:r>
            <w:r>
              <w:t>egacy TDD: Static TDD UL/DL configuration with {DDDSU}, where S=[12D:2G:0U]</w:t>
            </w:r>
          </w:p>
          <w:p w:rsidR="002B1E32" w:rsidRDefault="00400A5F">
            <w:pPr>
              <w:numPr>
                <w:ilvl w:val="1"/>
                <w:numId w:val="4"/>
              </w:numPr>
              <w:spacing w:after="0" w:line="240" w:lineRule="auto"/>
            </w:pPr>
            <w:r>
              <w:rPr>
                <w:rFonts w:hint="eastAsia"/>
              </w:rPr>
              <w:t>S</w:t>
            </w:r>
            <w:r>
              <w:t>BFD: Frame structure#3 (XXXXX), where X denotes a SBFD slot. In time domain, SBFD UL subband spans all the symbols in a SBFD slot. In frequency domain, SBFD UL subband is about [20%] of the channel bandwidth.</w:t>
            </w:r>
          </w:p>
          <w:p w:rsidR="002B1E32" w:rsidRDefault="00400A5F">
            <w:pPr>
              <w:numPr>
                <w:ilvl w:val="0"/>
                <w:numId w:val="4"/>
              </w:numPr>
              <w:spacing w:after="0" w:line="240" w:lineRule="auto"/>
            </w:pPr>
            <w:r>
              <w:t xml:space="preserve">Alt 1 (No SBFD DL subband in the slots/symbols that correspond to UL slots/symbols in legacy TDD): </w:t>
            </w:r>
          </w:p>
          <w:p w:rsidR="002B1E32" w:rsidRDefault="00400A5F">
            <w:pPr>
              <w:numPr>
                <w:ilvl w:val="1"/>
                <w:numId w:val="4"/>
              </w:numPr>
              <w:spacing w:after="0" w:line="240" w:lineRule="auto"/>
            </w:pPr>
            <w:r>
              <w:rPr>
                <w:rFonts w:hint="eastAsia"/>
              </w:rPr>
              <w:t>L</w:t>
            </w:r>
            <w:r>
              <w:t>egacy TDD: Static TDD UL/DL configuration with {DDDSU}, where S=[12D:2G:0U]</w:t>
            </w:r>
          </w:p>
          <w:p w:rsidR="002B1E32" w:rsidRDefault="00400A5F">
            <w:pPr>
              <w:numPr>
                <w:ilvl w:val="1"/>
                <w:numId w:val="4"/>
              </w:numPr>
              <w:spacing w:after="0" w:line="240" w:lineRule="auto"/>
            </w:pPr>
            <w:r>
              <w:rPr>
                <w:rFonts w:hint="eastAsia"/>
              </w:rPr>
              <w:t>S</w:t>
            </w:r>
            <w:r>
              <w:t xml:space="preserve">BFD: Frame structure#1 (DXXXU), where X denotes a SBFD slot. In time domain, SBFD UL subband spans all the symbols in a SBFD slot. In frequency domain, SBFD UL subband is about </w:t>
            </w:r>
            <w:r>
              <w:lastRenderedPageBreak/>
              <w:t>[20%] of the channel bandwidth.</w:t>
            </w:r>
          </w:p>
          <w:p w:rsidR="002B1E32" w:rsidRDefault="00400A5F">
            <w:pPr>
              <w:numPr>
                <w:ilvl w:val="0"/>
                <w:numId w:val="4"/>
              </w:numPr>
              <w:spacing w:after="0" w:line="240" w:lineRule="auto"/>
            </w:pPr>
            <w:r>
              <w:t xml:space="preserve">Alt 3 (strive for the same UL/DL resource ratio between </w:t>
            </w:r>
            <w:r>
              <w:rPr>
                <w:rFonts w:hint="eastAsia"/>
              </w:rPr>
              <w:t>L</w:t>
            </w:r>
            <w:r>
              <w:t xml:space="preserve">egacy TDD and SBFD): </w:t>
            </w:r>
          </w:p>
          <w:p w:rsidR="002B1E32" w:rsidRDefault="00400A5F">
            <w:pPr>
              <w:numPr>
                <w:ilvl w:val="1"/>
                <w:numId w:val="4"/>
              </w:numPr>
              <w:spacing w:after="0" w:line="240" w:lineRule="auto"/>
            </w:pPr>
            <w:r>
              <w:rPr>
                <w:rFonts w:hint="eastAsia"/>
              </w:rPr>
              <w:t>L</w:t>
            </w:r>
            <w:r>
              <w:t>egacy TDD: Static TDD UL/DL configuration with {DDSUU}, where S=[12D:2G:0U]</w:t>
            </w:r>
          </w:p>
          <w:p w:rsidR="002B1E32" w:rsidRDefault="00400A5F">
            <w:pPr>
              <w:numPr>
                <w:ilvl w:val="1"/>
                <w:numId w:val="4"/>
              </w:numPr>
              <w:spacing w:after="0" w:line="240" w:lineRule="auto"/>
            </w:pPr>
            <w:r>
              <w:rPr>
                <w:rFonts w:hint="eastAsia"/>
              </w:rPr>
              <w:t>S</w:t>
            </w:r>
            <w:r>
              <w:t>BFD: Frame structure#2 (XXXXU), where X denotes a SBFD slot. In time domain, SBFD UL subband spans all the symbols in a SBFD slot. In frequency domain, SBFD UL subband is about [20%] of the channel bandwidth.</w:t>
            </w:r>
          </w:p>
          <w:p w:rsidR="002B1E32" w:rsidRDefault="00400A5F">
            <w:pPr>
              <w:pStyle w:val="ListParagraph"/>
              <w:spacing w:line="240" w:lineRule="auto"/>
              <w:ind w:left="0"/>
            </w:pPr>
            <w:r>
              <w:t>FFS: whether dynamic TDD can optionally be used for legacy TDD for comparison.</w:t>
            </w:r>
          </w:p>
          <w:p w:rsidR="002B1E32" w:rsidRDefault="002B1E32">
            <w:pPr>
              <w:spacing w:line="240" w:lineRule="auto"/>
              <w:rPr>
                <w:lang w:eastAsia="ko-KR"/>
              </w:rPr>
            </w:pPr>
          </w:p>
          <w:p w:rsidR="002B1E32" w:rsidRDefault="00400A5F">
            <w:pPr>
              <w:spacing w:line="240" w:lineRule="auto"/>
              <w:rPr>
                <w:b/>
                <w:highlight w:val="green"/>
                <w:lang w:eastAsia="ko-KR"/>
              </w:rPr>
            </w:pPr>
            <w:r>
              <w:rPr>
                <w:b/>
                <w:highlight w:val="green"/>
                <w:lang w:eastAsia="ko-KR"/>
              </w:rPr>
              <w:t>Agreement</w:t>
            </w:r>
          </w:p>
          <w:p w:rsidR="002B1E32" w:rsidRDefault="00400A5F">
            <w:pPr>
              <w:spacing w:line="240" w:lineRule="auto"/>
            </w:pPr>
            <w:r>
              <w:t>For gNB-gNB co-channel/adjacent-channel channel model and UE-UE co-channel/adjacent-channel channel model in RAN1 SLS,</w:t>
            </w:r>
          </w:p>
          <w:p w:rsidR="002B1E32" w:rsidRDefault="00400A5F">
            <w:pPr>
              <w:numPr>
                <w:ilvl w:val="0"/>
                <w:numId w:val="4"/>
              </w:numPr>
              <w:spacing w:after="0" w:line="240" w:lineRule="auto"/>
            </w:pPr>
            <w:r>
              <w:t>Large scale fading (e.g., path loss, penetration loss, shadowing) should be modelled, and companies report whether small scale fading (e.g., fast fading including antenna gain) is also modelled in their simulation.</w:t>
            </w:r>
          </w:p>
          <w:p w:rsidR="002B1E32" w:rsidRDefault="00400A5F">
            <w:pPr>
              <w:numPr>
                <w:ilvl w:val="0"/>
                <w:numId w:val="4"/>
              </w:numPr>
              <w:spacing w:after="0" w:line="240" w:lineRule="auto"/>
            </w:pPr>
            <w:r>
              <w:rPr>
                <w:rFonts w:hint="eastAsia"/>
              </w:rPr>
              <w:t>N</w:t>
            </w:r>
            <w:r>
              <w:t>ote: Antenna gain is calculated based on the gNB-gNB or UE-UE LOS direction instead on the multi-path directions if fast fading is not modeled.</w:t>
            </w:r>
          </w:p>
          <w:p w:rsidR="002B1E32" w:rsidRDefault="00400A5F">
            <w:pPr>
              <w:numPr>
                <w:ilvl w:val="0"/>
                <w:numId w:val="4"/>
              </w:numPr>
              <w:spacing w:after="0" w:line="240" w:lineRule="auto"/>
            </w:pPr>
            <w:r>
              <w:t>FFS: how to model realistic LOS probability for gNB-gNB and UE-UE channel model.</w:t>
            </w:r>
          </w:p>
          <w:p w:rsidR="002B1E32" w:rsidRDefault="00400A5F">
            <w:pPr>
              <w:numPr>
                <w:ilvl w:val="0"/>
                <w:numId w:val="4"/>
              </w:numPr>
              <w:spacing w:after="0" w:line="240" w:lineRule="auto"/>
            </w:pPr>
            <w:r>
              <w:t>FFS: How to set aligned channel model amongst companies for SLS calibration (if needed).</w:t>
            </w:r>
          </w:p>
          <w:p w:rsidR="002B1E32" w:rsidRDefault="002B1E32">
            <w:pPr>
              <w:spacing w:line="240" w:lineRule="auto"/>
              <w:rPr>
                <w:bCs/>
                <w:i/>
                <w:highlight w:val="yellow"/>
              </w:rPr>
            </w:pPr>
          </w:p>
          <w:p w:rsidR="002B1E32" w:rsidRDefault="00400A5F">
            <w:pPr>
              <w:spacing w:line="240" w:lineRule="auto"/>
              <w:rPr>
                <w:b/>
                <w:highlight w:val="green"/>
                <w:lang w:eastAsia="ko-KR"/>
              </w:rPr>
            </w:pPr>
            <w:r>
              <w:rPr>
                <w:b/>
                <w:highlight w:val="green"/>
                <w:lang w:eastAsia="ko-KR"/>
              </w:rPr>
              <w:t>Agreement</w:t>
            </w:r>
          </w:p>
          <w:p w:rsidR="002B1E32" w:rsidRDefault="00400A5F">
            <w:pPr>
              <w:spacing w:line="240" w:lineRule="auto"/>
              <w:rPr>
                <w:iCs/>
              </w:rPr>
            </w:pPr>
            <w:r>
              <w:rPr>
                <w:iCs/>
              </w:rPr>
              <w:t>For gNB-gNB channel model, reuse gNB-to-UE channel model in TR 38.901 with necessary modification</w:t>
            </w:r>
          </w:p>
          <w:p w:rsidR="002B1E32" w:rsidRDefault="00400A5F">
            <w:pPr>
              <w:numPr>
                <w:ilvl w:val="0"/>
                <w:numId w:val="4"/>
              </w:numPr>
              <w:spacing w:after="0" w:line="240" w:lineRule="auto"/>
            </w:pPr>
            <w:r>
              <w:t>Replacing the UE’s antenna height with gNB’s antenna height, updating the angular spread</w:t>
            </w:r>
          </w:p>
          <w:p w:rsidR="002B1E32" w:rsidRDefault="00400A5F">
            <w:pPr>
              <w:numPr>
                <w:ilvl w:val="0"/>
                <w:numId w:val="4"/>
              </w:numPr>
              <w:spacing w:after="0" w:line="240" w:lineRule="auto"/>
            </w:pPr>
            <w:r>
              <w:rPr>
                <w:rFonts w:hint="eastAsia"/>
              </w:rPr>
              <w:t>F</w:t>
            </w:r>
            <w:r>
              <w:t>FS: whether/how to update LOS probability.</w:t>
            </w:r>
          </w:p>
          <w:p w:rsidR="002B1E32" w:rsidRDefault="00400A5F">
            <w:pPr>
              <w:numPr>
                <w:ilvl w:val="0"/>
                <w:numId w:val="4"/>
              </w:numPr>
              <w:spacing w:after="0" w:line="240" w:lineRule="auto"/>
            </w:pPr>
            <w:r>
              <w:t>FFS: Other details and necessary modifications</w:t>
            </w:r>
          </w:p>
          <w:p w:rsidR="002B1E32" w:rsidRDefault="002B1E32">
            <w:pPr>
              <w:spacing w:after="0" w:line="240" w:lineRule="auto"/>
              <w:rPr>
                <w:sz w:val="18"/>
              </w:rPr>
            </w:pPr>
          </w:p>
        </w:tc>
      </w:tr>
    </w:tbl>
    <w:p w:rsidR="002B1E32" w:rsidRDefault="00400A5F">
      <w:pPr>
        <w:spacing w:after="156"/>
        <w:rPr>
          <w:rFonts w:eastAsiaTheme="minorEastAsia"/>
          <w:color w:val="000000" w:themeColor="text1"/>
          <w:lang w:eastAsia="zh-CN"/>
        </w:rPr>
      </w:pPr>
      <w:r>
        <w:lastRenderedPageBreak/>
        <w:t>In this contribution, we provide our views on evaluation on NR duplex evolution, including the scenario of NR duplex, evaluation methodology and the evaluation results.</w:t>
      </w:r>
    </w:p>
    <w:p w:rsidR="002B1E32" w:rsidRDefault="00400A5F">
      <w:pPr>
        <w:pStyle w:val="Heading1"/>
        <w:rPr>
          <w:rFonts w:eastAsiaTheme="minorEastAsia"/>
          <w:color w:val="000000" w:themeColor="text1"/>
          <w:lang w:eastAsia="zh-CN"/>
        </w:rPr>
      </w:pPr>
      <w:r>
        <w:rPr>
          <w:rFonts w:eastAsiaTheme="minorEastAsia"/>
          <w:color w:val="000000" w:themeColor="text1"/>
          <w:lang w:eastAsia="zh-CN"/>
        </w:rPr>
        <w:t>Discussion</w:t>
      </w:r>
    </w:p>
    <w:p w:rsidR="002B1E32" w:rsidRDefault="00400A5F">
      <w:pPr>
        <w:pStyle w:val="Heading2"/>
        <w:rPr>
          <w:rFonts w:cs="Times New Roman"/>
        </w:rPr>
      </w:pPr>
      <w:r>
        <w:rPr>
          <w:rFonts w:cs="Times New Roman"/>
        </w:rPr>
        <w:t>Scenario</w:t>
      </w:r>
    </w:p>
    <w:p w:rsidR="002B1E32" w:rsidRDefault="00400A5F">
      <w:pPr>
        <w:jc w:val="both"/>
      </w:pPr>
      <w:r>
        <w:t xml:space="preserve">In TDD, the time domain resource is split between downlink and uplink in time domain. A limited time duration for the uplink in TDD would result in reduced coverage, increased latency and reduced capacity. One improvement is to allow the simultaneous existence of downlink and uplink, a.k.a. full duplex, or more specifically, subband non-overlapping full duplex at the gNB side within a conventional TDD band. </w:t>
      </w:r>
    </w:p>
    <w:p w:rsidR="002B1E32" w:rsidRDefault="00400A5F">
      <w:pPr>
        <w:jc w:val="both"/>
      </w:pPr>
      <w:r>
        <w:t xml:space="preserve">In TDD network, macro and small cells are deployed simultaneously to satisfy different requirements and, most-likely, different downlink/uplink traffic ratios. Macro cells are deployed to ensure full coverage and most user’s connection. Small cells are deployed to improve data throughput or indoor coverage. In macro cells, enormous user number leads to relatively stable uplink and downlink traffic distribution. In small cells, small number of users leads dynamic uplink and downlink </w:t>
      </w:r>
      <w:r>
        <w:lastRenderedPageBreak/>
        <w:t xml:space="preserve">traffic distribution and, in some cases, e.g. factory, uplink traffic is heavier and, in some cases, e.g. home, downlink traffic is heavier. So macro and small cells may need different uplink and downlink resource allocations. From perspective of low latency and uplink coverage, subband non-overlapping full duplex at the gNB side are helpful. For macro cell, semi-static use of subband may be sufficient for relatively stable traffic; for small cell, dynamic use of subband can be more suitable for dynamic uplink-downlink traffic ratio. </w:t>
      </w:r>
    </w:p>
    <w:p w:rsidR="002B1E32" w:rsidRDefault="00400A5F">
      <w:pPr>
        <w:jc w:val="both"/>
        <w:rPr>
          <w:rFonts w:eastAsia="SimSun"/>
          <w:lang w:eastAsia="zh-CN"/>
        </w:rPr>
      </w:pPr>
      <w:r>
        <w:rPr>
          <w:rFonts w:eastAsia="SimSun"/>
          <w:lang w:eastAsia="zh-CN"/>
        </w:rPr>
        <w:t>When SBFD slot is configured, if there is no uplink transmission in UL subband or the real-time resource scheduled for uplink in the subband is less than the UL subband capacity, it needs to be discussed whether the remaining resources in the UL subband not used for the actual uplink transmission could be used for downlink scheduling purpose. If the remaining resource of uplink sub-band can be used for downlink, the inter-cell interference occurs when the resource is scheduled by a cell for uplink and the resource with same frequency range is scheduled by neighbor/other cell(s). If the remaining resource of uplink sub-band would not be used for downlink, the resource efficiency may be impact because no transmission on some RBs.</w:t>
      </w:r>
    </w:p>
    <w:p w:rsidR="002B1E32" w:rsidRDefault="00400A5F">
      <w:pPr>
        <w:jc w:val="both"/>
        <w:rPr>
          <w:b/>
          <w:i/>
        </w:rPr>
      </w:pPr>
      <w:r>
        <w:rPr>
          <w:rFonts w:eastAsia="SimSun"/>
          <w:b/>
          <w:i/>
          <w:lang w:eastAsia="zh-CN"/>
        </w:rPr>
        <w:t>Proposal 1: It needs to be discussed whether downlink scheduling could use the resource in uplink subband.</w:t>
      </w:r>
    </w:p>
    <w:p w:rsidR="002B1E32" w:rsidRDefault="00400A5F">
      <w:pPr>
        <w:pStyle w:val="Heading2"/>
        <w:rPr>
          <w:rFonts w:cs="Times New Roman"/>
        </w:rPr>
      </w:pPr>
      <w:r>
        <w:rPr>
          <w:rFonts w:cs="Times New Roman"/>
        </w:rPr>
        <w:t>Evaluation methodology</w:t>
      </w:r>
    </w:p>
    <w:p w:rsidR="002B1E32" w:rsidRDefault="00400A5F">
      <w:pPr>
        <w:rPr>
          <w:rFonts w:eastAsiaTheme="minorEastAsia"/>
          <w:b/>
          <w:szCs w:val="20"/>
          <w:u w:val="single"/>
          <w:lang w:eastAsia="zh-CN"/>
        </w:rPr>
      </w:pPr>
      <w:r>
        <w:rPr>
          <w:rFonts w:eastAsiaTheme="minorEastAsia"/>
          <w:b/>
          <w:szCs w:val="20"/>
          <w:u w:val="single"/>
          <w:lang w:eastAsia="zh-CN"/>
        </w:rPr>
        <w:t>Traffic ratio for SBFD evaluation</w:t>
      </w:r>
    </w:p>
    <w:p w:rsidR="002B1E32" w:rsidRDefault="00400A5F">
      <w:pPr>
        <w:jc w:val="both"/>
        <w:rPr>
          <w:szCs w:val="20"/>
        </w:rPr>
      </w:pPr>
      <w:r>
        <w:rPr>
          <w:rFonts w:eastAsia="SimSun" w:hint="eastAsia"/>
          <w:lang w:eastAsia="zh-CN"/>
        </w:rPr>
        <w:t>A</w:t>
      </w:r>
      <w:r>
        <w:rPr>
          <w:rFonts w:eastAsia="SimSun"/>
          <w:lang w:eastAsia="zh-CN"/>
        </w:rPr>
        <w:t xml:space="preserve">ccording to the agreements for evaluation cases for SBFD with </w:t>
      </w:r>
      <w:r>
        <w:rPr>
          <w:szCs w:val="20"/>
        </w:rPr>
        <w:t xml:space="preserve">Deployment Case 1, the resource ratio for uplink subband in downlink slot is about 20%. FTP3 model is used for the evaluation. The parameters for FTP3, e.g. arrival rate and packet size, configured for uplink and downlink could be different to match the ratio of resource for uplink and downlink. For an example, the bandwidth is assumed as 100 RBs for the simulation. The number of RBs used for uplink in SBFD slot is 20. The ratio between resources of uplink and downlink for “DDDSU” is about 100:(100*4). Then the ratio for FTP3 packet arrival rate could be 1:4 for uplink and downlink with same packet size, or the packet size could be 1:4 for uplink and downlink with same packet arrival rate. </w:t>
      </w:r>
    </w:p>
    <w:p w:rsidR="002B1E32" w:rsidRDefault="00400A5F">
      <w:pPr>
        <w:rPr>
          <w:b/>
          <w:i/>
          <w:szCs w:val="20"/>
        </w:rPr>
      </w:pPr>
      <w:r>
        <w:rPr>
          <w:b/>
          <w:i/>
          <w:szCs w:val="20"/>
        </w:rPr>
        <w:t>Proposal 2: The ratio of combined traffic volumes over FTP3 arrival rate and packet size between uplink and downlink should reflect the semi-static resource amount ratio bet</w:t>
      </w:r>
      <w:r w:rsidR="00A40BA8">
        <w:rPr>
          <w:b/>
          <w:i/>
          <w:szCs w:val="20"/>
        </w:rPr>
        <w:t>ween uplink and downlink. The downlink-to-up</w:t>
      </w:r>
      <w:r>
        <w:rPr>
          <w:b/>
          <w:i/>
          <w:szCs w:val="20"/>
        </w:rPr>
        <w:t>link traffic volume rat</w:t>
      </w:r>
      <w:r w:rsidR="00A40BA8">
        <w:rPr>
          <w:b/>
          <w:i/>
          <w:szCs w:val="20"/>
        </w:rPr>
        <w:t>io of 4:1</w:t>
      </w:r>
      <w:r>
        <w:rPr>
          <w:b/>
          <w:i/>
          <w:szCs w:val="20"/>
        </w:rPr>
        <w:t xml:space="preserve"> can be used given the TDD U/D configuration of “DDDSU”</w:t>
      </w:r>
      <w:r>
        <w:rPr>
          <w:rFonts w:asciiTheme="minorEastAsia" w:eastAsiaTheme="minorEastAsia" w:hAnsiTheme="minorEastAsia"/>
          <w:b/>
          <w:i/>
          <w:szCs w:val="20"/>
          <w:lang w:eastAsia="zh-CN"/>
        </w:rPr>
        <w:t>.</w:t>
      </w:r>
    </w:p>
    <w:p w:rsidR="002B1E32" w:rsidRDefault="002B1E32">
      <w:pPr>
        <w:rPr>
          <w:rFonts w:eastAsia="SimSun"/>
          <w:b/>
          <w:u w:val="single"/>
          <w:lang w:eastAsia="zh-CN"/>
        </w:rPr>
      </w:pPr>
    </w:p>
    <w:p w:rsidR="002B1E32" w:rsidRDefault="00400A5F">
      <w:pPr>
        <w:rPr>
          <w:rFonts w:eastAsia="SimSun"/>
          <w:b/>
          <w:u w:val="single"/>
          <w:lang w:eastAsia="zh-CN"/>
        </w:rPr>
      </w:pPr>
      <w:r>
        <w:rPr>
          <w:rFonts w:eastAsia="SimSun" w:hint="eastAsia"/>
          <w:b/>
          <w:u w:val="single"/>
          <w:lang w:eastAsia="zh-CN"/>
        </w:rPr>
        <w:t>D</w:t>
      </w:r>
      <w:r>
        <w:rPr>
          <w:rFonts w:eastAsia="SimSun"/>
          <w:b/>
          <w:u w:val="single"/>
          <w:lang w:eastAsia="zh-CN"/>
        </w:rPr>
        <w:t>eployment cases for dymamic/flexible TDD evaluation</w:t>
      </w:r>
    </w:p>
    <w:p w:rsidR="002B1E32" w:rsidRDefault="00400A5F">
      <w:pPr>
        <w:jc w:val="both"/>
        <w:rPr>
          <w:rFonts w:eastAsia="SimSun"/>
          <w:lang w:eastAsia="zh-CN"/>
        </w:rPr>
      </w:pPr>
      <w:r>
        <w:rPr>
          <w:rFonts w:eastAsia="SimSun"/>
          <w:lang w:eastAsia="zh-CN"/>
        </w:rPr>
        <w:t>When dynamic/flexible TDD is configured, the TDD pattern for each cell could be changed if needed and the TDD pattern between different cells could be either same or different. The candidate deployment cases could be selected as following:</w:t>
      </w:r>
    </w:p>
    <w:p w:rsidR="002B1E32" w:rsidRDefault="00400A5F">
      <w:pPr>
        <w:pStyle w:val="ListParagraph"/>
        <w:numPr>
          <w:ilvl w:val="0"/>
          <w:numId w:val="5"/>
        </w:numPr>
        <w:rPr>
          <w:bCs/>
          <w:iCs/>
        </w:rPr>
      </w:pPr>
      <w:r>
        <w:t>Deployment Case-1 (non-coexistence case):</w:t>
      </w:r>
      <w:r>
        <w:rPr>
          <w:bCs/>
          <w:iCs/>
        </w:rPr>
        <w:t xml:space="preserve"> Single carrier is assumed. All the cells on the carrier share the same </w:t>
      </w:r>
      <w:r w:rsidRPr="00DA5BB6">
        <w:rPr>
          <w:rFonts w:eastAsiaTheme="minorEastAsia"/>
          <w:i/>
        </w:rPr>
        <w:t>TDD-UL-DL-ConfigCommon</w:t>
      </w:r>
      <w:r>
        <w:rPr>
          <w:bCs/>
          <w:iCs/>
        </w:rPr>
        <w:t xml:space="preserve"> and run upon the TDD dynamic/flexible </w:t>
      </w:r>
      <w:r w:rsidR="00A40BA8">
        <w:rPr>
          <w:bCs/>
          <w:iCs/>
        </w:rPr>
        <w:t xml:space="preserve">allocation </w:t>
      </w:r>
      <w:r>
        <w:rPr>
          <w:bCs/>
          <w:iCs/>
        </w:rPr>
        <w:t xml:space="preserve">patterns </w:t>
      </w:r>
      <w:r w:rsidR="00A40BA8">
        <w:rPr>
          <w:bCs/>
          <w:iCs/>
        </w:rPr>
        <w:t>that are independent from each other</w:t>
      </w:r>
      <w:r>
        <w:rPr>
          <w:bCs/>
          <w:iCs/>
        </w:rPr>
        <w:t>.</w:t>
      </w:r>
    </w:p>
    <w:p w:rsidR="002B1E32" w:rsidRDefault="00400A5F">
      <w:pPr>
        <w:pStyle w:val="ListParagraph"/>
        <w:numPr>
          <w:ilvl w:val="0"/>
          <w:numId w:val="5"/>
        </w:numPr>
        <w:rPr>
          <w:bCs/>
          <w:iCs/>
        </w:rPr>
      </w:pPr>
      <w:r>
        <w:lastRenderedPageBreak/>
        <w:t>Deployment Case-2 (coexistence case):</w:t>
      </w:r>
      <w:r>
        <w:rPr>
          <w:bCs/>
          <w:iCs/>
        </w:rPr>
        <w:t xml:space="preserve"> Single carrier is assumed. </w:t>
      </w:r>
      <w:r w:rsidR="00A40BA8">
        <w:rPr>
          <w:bCs/>
          <w:iCs/>
        </w:rPr>
        <w:t xml:space="preserve">All the cells on the carrier share the same </w:t>
      </w:r>
      <w:r w:rsidR="00A40BA8" w:rsidRPr="00DA5BB6">
        <w:rPr>
          <w:rFonts w:eastAsiaTheme="minorEastAsia"/>
          <w:i/>
        </w:rPr>
        <w:t>TDD-UL-DL-ConfigCommon</w:t>
      </w:r>
      <w:r w:rsidR="00A40BA8">
        <w:rPr>
          <w:bCs/>
          <w:iCs/>
        </w:rPr>
        <w:t xml:space="preserve">. </w:t>
      </w:r>
      <w:r>
        <w:rPr>
          <w:bCs/>
          <w:iCs/>
        </w:rPr>
        <w:t xml:space="preserve">Some of the cells on the carrier use legacy (static) TDD operation while others </w:t>
      </w:r>
      <w:r w:rsidR="00A40BA8">
        <w:rPr>
          <w:bCs/>
          <w:iCs/>
        </w:rPr>
        <w:t>run upon the TDD dynamic/flexible allocation patterns that are independent from each other</w:t>
      </w:r>
      <w:r>
        <w:rPr>
          <w:bCs/>
          <w:iCs/>
        </w:rPr>
        <w:t>.</w:t>
      </w:r>
    </w:p>
    <w:p w:rsidR="002B1E32" w:rsidRPr="00A40BA8" w:rsidRDefault="00400A5F">
      <w:pPr>
        <w:rPr>
          <w:rFonts w:eastAsia="SimSun"/>
          <w:b/>
          <w:i/>
          <w:lang w:eastAsia="zh-CN"/>
        </w:rPr>
      </w:pPr>
      <w:r w:rsidRPr="00A40BA8">
        <w:rPr>
          <w:rFonts w:eastAsia="SimSun" w:hint="eastAsia"/>
          <w:b/>
          <w:i/>
          <w:lang w:eastAsia="zh-CN"/>
        </w:rPr>
        <w:t>P</w:t>
      </w:r>
      <w:r w:rsidRPr="00A40BA8">
        <w:rPr>
          <w:rFonts w:eastAsia="SimSun"/>
          <w:b/>
          <w:i/>
          <w:lang w:eastAsia="zh-CN"/>
        </w:rPr>
        <w:t xml:space="preserve">roposal 3: </w:t>
      </w:r>
      <w:r w:rsidR="00A40BA8" w:rsidRPr="00A40BA8">
        <w:rPr>
          <w:rFonts w:eastAsia="SimSun"/>
          <w:b/>
          <w:i/>
          <w:lang w:eastAsia="zh-CN"/>
        </w:rPr>
        <w:t xml:space="preserve">For dynamic/flexible TDD evaluation, </w:t>
      </w:r>
      <w:r w:rsidRPr="00A40BA8">
        <w:rPr>
          <w:rFonts w:eastAsia="SimSun"/>
          <w:b/>
          <w:i/>
          <w:lang w:eastAsia="zh-CN"/>
        </w:rPr>
        <w:t xml:space="preserve">define one non-coexistence deployment case and one coexistence deployment case, </w:t>
      </w:r>
      <w:r w:rsidR="00A40BA8" w:rsidRPr="00A40BA8">
        <w:rPr>
          <w:rFonts w:eastAsia="SimSun"/>
          <w:b/>
          <w:i/>
          <w:lang w:eastAsia="zh-CN"/>
        </w:rPr>
        <w:t>each</w:t>
      </w:r>
      <w:r w:rsidRPr="00A40BA8">
        <w:rPr>
          <w:rFonts w:eastAsia="SimSun"/>
          <w:b/>
          <w:i/>
          <w:lang w:eastAsia="zh-CN"/>
        </w:rPr>
        <w:t xml:space="preserve"> of which run</w:t>
      </w:r>
      <w:r w:rsidR="00A40BA8" w:rsidRPr="00A40BA8">
        <w:rPr>
          <w:rFonts w:eastAsia="SimSun"/>
          <w:b/>
          <w:i/>
          <w:lang w:eastAsia="zh-CN"/>
        </w:rPr>
        <w:t>s</w:t>
      </w:r>
      <w:r w:rsidRPr="00A40BA8">
        <w:rPr>
          <w:rFonts w:eastAsia="SimSun"/>
          <w:b/>
          <w:i/>
          <w:lang w:eastAsia="zh-CN"/>
        </w:rPr>
        <w:t xml:space="preserve"> on single carrier</w:t>
      </w:r>
      <w:r w:rsidR="00A40BA8" w:rsidRPr="00A40BA8">
        <w:rPr>
          <w:rFonts w:eastAsia="SimSun"/>
          <w:b/>
          <w:i/>
          <w:lang w:eastAsia="zh-CN"/>
        </w:rPr>
        <w:t xml:space="preserve"> and assumes the same </w:t>
      </w:r>
      <w:r w:rsidR="00A40BA8" w:rsidRPr="00A40BA8">
        <w:rPr>
          <w:rFonts w:eastAsiaTheme="minorEastAsia"/>
          <w:b/>
          <w:i/>
        </w:rPr>
        <w:t>TDD-UL-DL-ConfigCommon</w:t>
      </w:r>
      <w:r w:rsidR="00A40BA8" w:rsidRPr="00A40BA8">
        <w:rPr>
          <w:rFonts w:eastAsia="SimSun"/>
          <w:b/>
          <w:i/>
          <w:lang w:eastAsia="zh-CN"/>
        </w:rPr>
        <w:t xml:space="preserve"> across all cells.  </w:t>
      </w:r>
    </w:p>
    <w:p w:rsidR="002B1E32" w:rsidRDefault="00400A5F">
      <w:pPr>
        <w:pStyle w:val="Heading2"/>
        <w:rPr>
          <w:lang w:eastAsia="zh-CN"/>
        </w:rPr>
      </w:pPr>
      <w:r>
        <w:rPr>
          <w:lang w:eastAsia="zh-CN"/>
        </w:rPr>
        <w:t>Evaluation results</w:t>
      </w:r>
    </w:p>
    <w:p w:rsidR="002B1E32" w:rsidRDefault="00400A5F">
      <w:pPr>
        <w:jc w:val="both"/>
        <w:rPr>
          <w:rFonts w:eastAsiaTheme="minorEastAsia"/>
          <w:lang w:eastAsia="zh-CN"/>
        </w:rPr>
      </w:pPr>
      <w:r>
        <w:rPr>
          <w:rFonts w:eastAsiaTheme="minorEastAsia"/>
          <w:lang w:eastAsia="zh-CN"/>
        </w:rPr>
        <w:t>Table 1 shows the evaluation results for SBFD in InH scenario, with evaluation assumptions given in Table A-1. The channel bandwidth is 104RBs and the SBFD UL subband has 20RBs locating at the center of bandwidth. FTP3 packet arrival rate is 10/s and packet size is 0.5Mbyte for downlink. Packet arrival rate is 2.5/s and packet size is 0.5Mbyte for uplink.</w:t>
      </w:r>
    </w:p>
    <w:p w:rsidR="002B1E32" w:rsidRDefault="00400A5F">
      <w:pPr>
        <w:jc w:val="center"/>
        <w:rPr>
          <w:rFonts w:eastAsiaTheme="minorEastAsia"/>
          <w:lang w:eastAsia="zh-CN"/>
        </w:rPr>
      </w:pPr>
      <w:r>
        <w:rPr>
          <w:rFonts w:eastAsiaTheme="minorEastAsia" w:hint="eastAsia"/>
          <w:lang w:eastAsia="zh-CN"/>
        </w:rPr>
        <w:t>T</w:t>
      </w:r>
      <w:r>
        <w:rPr>
          <w:rFonts w:eastAsiaTheme="minorEastAsia"/>
          <w:lang w:eastAsia="zh-CN"/>
        </w:rPr>
        <w:t>able 1 evaluation results for SBFD operations in deployment case-1</w:t>
      </w:r>
    </w:p>
    <w:tbl>
      <w:tblPr>
        <w:tblStyle w:val="TableGrid"/>
        <w:tblW w:w="0" w:type="auto"/>
        <w:jc w:val="center"/>
        <w:tblLook w:val="04A0"/>
      </w:tblPr>
      <w:tblGrid>
        <w:gridCol w:w="1995"/>
        <w:gridCol w:w="1948"/>
        <w:gridCol w:w="1419"/>
        <w:gridCol w:w="1878"/>
        <w:gridCol w:w="1361"/>
        <w:gridCol w:w="1361"/>
      </w:tblGrid>
      <w:tr w:rsidR="002B1E32">
        <w:trPr>
          <w:trHeight w:val="711"/>
          <w:jc w:val="center"/>
        </w:trPr>
        <w:tc>
          <w:tcPr>
            <w:tcW w:w="0" w:type="auto"/>
            <w:vAlign w:val="center"/>
          </w:tcPr>
          <w:p w:rsidR="002B1E32" w:rsidRDefault="002B1E32">
            <w:pPr>
              <w:spacing w:after="0" w:line="240" w:lineRule="auto"/>
              <w:jc w:val="center"/>
              <w:rPr>
                <w:rFonts w:eastAsiaTheme="minorEastAsia"/>
                <w:szCs w:val="20"/>
                <w:lang w:eastAsia="zh-CN"/>
              </w:rPr>
            </w:pPr>
          </w:p>
        </w:tc>
        <w:tc>
          <w:tcPr>
            <w:tcW w:w="0" w:type="auto"/>
            <w:vAlign w:val="center"/>
          </w:tcPr>
          <w:p w:rsidR="002B1E32" w:rsidRDefault="00400A5F">
            <w:pPr>
              <w:spacing w:after="0" w:line="240" w:lineRule="auto"/>
              <w:jc w:val="center"/>
              <w:rPr>
                <w:rFonts w:eastAsiaTheme="minorEastAsia"/>
                <w:szCs w:val="20"/>
                <w:lang w:eastAsia="zh-CN"/>
              </w:rPr>
            </w:pPr>
            <w:r>
              <w:rPr>
                <w:rFonts w:eastAsiaTheme="minorEastAsia"/>
                <w:szCs w:val="20"/>
                <w:lang w:eastAsia="zh-CN"/>
              </w:rPr>
              <w:t>TDD slot configuration</w:t>
            </w:r>
          </w:p>
        </w:tc>
        <w:tc>
          <w:tcPr>
            <w:tcW w:w="0" w:type="auto"/>
            <w:vAlign w:val="center"/>
          </w:tcPr>
          <w:p w:rsidR="002B1E32" w:rsidRDefault="00400A5F">
            <w:pPr>
              <w:spacing w:after="0" w:line="240" w:lineRule="auto"/>
              <w:jc w:val="center"/>
              <w:rPr>
                <w:rFonts w:eastAsiaTheme="minorEastAsia"/>
                <w:szCs w:val="20"/>
                <w:lang w:eastAsia="zh-CN"/>
              </w:rPr>
            </w:pPr>
            <w:r>
              <w:rPr>
                <w:rFonts w:eastAsiaTheme="minorEastAsia"/>
                <w:szCs w:val="20"/>
                <w:lang w:eastAsia="zh-CN"/>
              </w:rPr>
              <w:t>DL Throughput</w:t>
            </w:r>
          </w:p>
          <w:p w:rsidR="002B1E32" w:rsidRDefault="00400A5F">
            <w:pPr>
              <w:spacing w:after="0" w:line="240" w:lineRule="auto"/>
              <w:jc w:val="center"/>
              <w:rPr>
                <w:rFonts w:eastAsiaTheme="minorEastAsia"/>
                <w:szCs w:val="20"/>
                <w:lang w:eastAsia="zh-CN"/>
              </w:rPr>
            </w:pPr>
            <w:r>
              <w:rPr>
                <w:rFonts w:eastAsiaTheme="minorEastAsia"/>
                <w:szCs w:val="20"/>
                <w:lang w:eastAsia="zh-CN"/>
              </w:rPr>
              <w:t>(kbps)</w:t>
            </w:r>
          </w:p>
        </w:tc>
        <w:tc>
          <w:tcPr>
            <w:tcW w:w="0" w:type="auto"/>
            <w:vAlign w:val="center"/>
          </w:tcPr>
          <w:p w:rsidR="002B1E32" w:rsidRDefault="00400A5F">
            <w:pPr>
              <w:spacing w:after="0" w:line="240" w:lineRule="auto"/>
              <w:jc w:val="center"/>
              <w:rPr>
                <w:rFonts w:eastAsiaTheme="minorEastAsia"/>
                <w:szCs w:val="20"/>
                <w:lang w:eastAsia="zh-CN"/>
              </w:rPr>
            </w:pPr>
            <w:r>
              <w:rPr>
                <w:rFonts w:eastAsiaTheme="minorEastAsia"/>
                <w:szCs w:val="20"/>
                <w:lang w:eastAsia="zh-CN"/>
              </w:rPr>
              <w:t>UL Throughput (kbps)</w:t>
            </w:r>
          </w:p>
        </w:tc>
        <w:tc>
          <w:tcPr>
            <w:tcW w:w="0" w:type="auto"/>
            <w:vAlign w:val="center"/>
          </w:tcPr>
          <w:p w:rsidR="002B1E32" w:rsidRDefault="00400A5F">
            <w:pPr>
              <w:spacing w:after="0" w:line="240" w:lineRule="auto"/>
              <w:jc w:val="center"/>
              <w:rPr>
                <w:rFonts w:eastAsiaTheme="minorEastAsia"/>
                <w:szCs w:val="20"/>
                <w:lang w:eastAsia="zh-CN"/>
              </w:rPr>
            </w:pPr>
            <w:r>
              <w:rPr>
                <w:rFonts w:eastAsiaTheme="minorEastAsia"/>
                <w:szCs w:val="20"/>
                <w:lang w:eastAsia="zh-CN"/>
              </w:rPr>
              <w:t>DL UPT (kbps)</w:t>
            </w:r>
          </w:p>
        </w:tc>
        <w:tc>
          <w:tcPr>
            <w:tcW w:w="0" w:type="auto"/>
            <w:vAlign w:val="center"/>
          </w:tcPr>
          <w:p w:rsidR="002B1E32" w:rsidRDefault="00400A5F">
            <w:pPr>
              <w:spacing w:after="0" w:line="240" w:lineRule="auto"/>
              <w:jc w:val="center"/>
              <w:rPr>
                <w:rFonts w:eastAsiaTheme="minorEastAsia"/>
                <w:szCs w:val="20"/>
                <w:lang w:eastAsia="zh-CN"/>
              </w:rPr>
            </w:pPr>
            <w:r>
              <w:rPr>
                <w:rFonts w:eastAsiaTheme="minorEastAsia"/>
                <w:szCs w:val="20"/>
                <w:lang w:eastAsia="zh-CN"/>
              </w:rPr>
              <w:t>UL UPT (kbps)</w:t>
            </w:r>
          </w:p>
        </w:tc>
      </w:tr>
      <w:tr w:rsidR="002B1E32">
        <w:trPr>
          <w:trHeight w:val="285"/>
          <w:jc w:val="center"/>
        </w:trPr>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Baseline</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DDDSU</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16604.17</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4661.44</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8792.75</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4508.45</w:t>
            </w:r>
          </w:p>
        </w:tc>
      </w:tr>
      <w:tr w:rsidR="002B1E32">
        <w:trPr>
          <w:trHeight w:val="285"/>
          <w:jc w:val="center"/>
        </w:trPr>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SBFD operation Alt-1</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DXXXU</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14583.46</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6509.12</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7039.00</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7206.87</w:t>
            </w:r>
          </w:p>
        </w:tc>
      </w:tr>
      <w:tr w:rsidR="002B1E32">
        <w:trPr>
          <w:trHeight w:val="285"/>
          <w:jc w:val="center"/>
        </w:trPr>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SBFD operation Alt-2</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XXXXU</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14140.43</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7043.46</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6636.47</w:t>
            </w:r>
          </w:p>
        </w:tc>
        <w:tc>
          <w:tcPr>
            <w:tcW w:w="0" w:type="auto"/>
            <w:noWrap/>
            <w:vAlign w:val="center"/>
          </w:tcPr>
          <w:p w:rsidR="002B1E32" w:rsidRDefault="00400A5F">
            <w:pPr>
              <w:spacing w:after="0" w:line="240" w:lineRule="auto"/>
              <w:jc w:val="center"/>
              <w:rPr>
                <w:rFonts w:eastAsiaTheme="minorEastAsia"/>
                <w:szCs w:val="20"/>
                <w:lang w:eastAsia="zh-CN"/>
              </w:rPr>
            </w:pPr>
            <w:r>
              <w:rPr>
                <w:rFonts w:eastAsia="等线"/>
                <w:color w:val="000000"/>
                <w:szCs w:val="20"/>
              </w:rPr>
              <w:t>8615.57</w:t>
            </w:r>
          </w:p>
        </w:tc>
      </w:tr>
    </w:tbl>
    <w:p w:rsidR="002B1E32" w:rsidRDefault="002B1E32">
      <w:pPr>
        <w:rPr>
          <w:rFonts w:eastAsiaTheme="minorEastAsia"/>
          <w:lang w:eastAsia="zh-CN"/>
        </w:rPr>
      </w:pPr>
    </w:p>
    <w:p w:rsidR="002B1E32" w:rsidRDefault="00400A5F">
      <w:pPr>
        <w:jc w:val="both"/>
        <w:rPr>
          <w:rFonts w:eastAsiaTheme="minorEastAsia"/>
          <w:lang w:eastAsia="zh-CN"/>
        </w:rPr>
      </w:pPr>
      <w:r>
        <w:rPr>
          <w:rFonts w:eastAsiaTheme="minorEastAsia"/>
          <w:lang w:eastAsia="zh-CN"/>
        </w:rPr>
        <w:t xml:space="preserve">Observations from Table-1: </w:t>
      </w:r>
    </w:p>
    <w:p w:rsidR="002B1E32" w:rsidRDefault="00400A5F">
      <w:pPr>
        <w:pStyle w:val="ListParagraph"/>
        <w:numPr>
          <w:ilvl w:val="0"/>
          <w:numId w:val="6"/>
        </w:numPr>
        <w:rPr>
          <w:rFonts w:eastAsiaTheme="minorEastAsia"/>
        </w:rPr>
      </w:pPr>
      <w:r>
        <w:rPr>
          <w:rFonts w:eastAsiaTheme="minorEastAsia" w:cs="Times New Roman"/>
        </w:rPr>
        <w:t xml:space="preserve">Regardless DL or UL, both throughput and UPT increases as resource amount on the transmission direction increases, and decreases as the resource amount on the transmission direction decreases. </w:t>
      </w:r>
    </w:p>
    <w:p w:rsidR="002B1E32" w:rsidRDefault="00400A5F">
      <w:pPr>
        <w:pStyle w:val="ListParagraph"/>
        <w:numPr>
          <w:ilvl w:val="0"/>
          <w:numId w:val="6"/>
        </w:numPr>
        <w:rPr>
          <w:rFonts w:eastAsiaTheme="minorEastAsia"/>
        </w:rPr>
      </w:pPr>
      <w:r>
        <w:rPr>
          <w:rFonts w:eastAsiaTheme="minorEastAsia" w:cs="Times New Roman"/>
        </w:rPr>
        <w:t xml:space="preserve">Further, </w:t>
      </w:r>
      <w:r>
        <w:rPr>
          <w:rFonts w:eastAsiaTheme="minorEastAsia"/>
        </w:rPr>
        <w:t>for {baseline case, Alt-1, Alt-2}, the D-to-U resource ratios are respectively {4:1, 89:41</w:t>
      </w:r>
      <w:r>
        <w:rPr>
          <w:rFonts w:eastAsiaTheme="minorEastAsia" w:cs="Times New Roman"/>
        </w:rPr>
        <w:t xml:space="preserve">≈2.17:1, </w:t>
      </w:r>
      <w:r>
        <w:rPr>
          <w:rFonts w:eastAsiaTheme="minorEastAsia"/>
        </w:rPr>
        <w:t>42:23</w:t>
      </w:r>
      <w:r>
        <w:rPr>
          <w:rFonts w:eastAsiaTheme="minorEastAsia" w:cs="Times New Roman"/>
        </w:rPr>
        <w:t xml:space="preserve">≈2:1}. The corresponding D-to-U throughputs are {3.56:1, 2.24:1, 2:1} respectively, which almost match the D-to-U resource ratios.  </w:t>
      </w:r>
    </w:p>
    <w:p w:rsidR="002B1E32" w:rsidRDefault="00400A5F">
      <w:pPr>
        <w:pStyle w:val="ListParagraph"/>
        <w:numPr>
          <w:ilvl w:val="0"/>
          <w:numId w:val="6"/>
        </w:numPr>
        <w:rPr>
          <w:rFonts w:eastAsiaTheme="minorEastAsia"/>
        </w:rPr>
      </w:pPr>
      <w:r>
        <w:rPr>
          <w:rFonts w:eastAsiaTheme="minorEastAsia" w:cs="Times New Roman"/>
        </w:rPr>
        <w:t xml:space="preserve">Comparing to the UL throughput, Alt-1 and Alt-2 help more on UL UPT, which is a reasonable observation since adding SBFD slot X reduces the waiting time of UL packets.    </w:t>
      </w:r>
    </w:p>
    <w:p w:rsidR="002B1E32" w:rsidRDefault="00400A5F">
      <w:pPr>
        <w:rPr>
          <w:rFonts w:eastAsiaTheme="minorEastAsia"/>
          <w:b/>
          <w:i/>
        </w:rPr>
      </w:pPr>
      <w:r>
        <w:rPr>
          <w:rFonts w:eastAsiaTheme="minorEastAsia" w:hint="eastAsia"/>
          <w:b/>
          <w:i/>
          <w:lang w:eastAsia="zh-CN"/>
        </w:rPr>
        <w:t>O</w:t>
      </w:r>
      <w:r w:rsidR="00A40BA8">
        <w:rPr>
          <w:rFonts w:eastAsiaTheme="minorEastAsia"/>
          <w:b/>
          <w:i/>
          <w:lang w:eastAsia="zh-CN"/>
        </w:rPr>
        <w:t>bservation 1</w:t>
      </w:r>
      <w:r>
        <w:rPr>
          <w:rFonts w:eastAsiaTheme="minorEastAsia"/>
          <w:b/>
          <w:i/>
          <w:lang w:eastAsia="zh-CN"/>
        </w:rPr>
        <w:t xml:space="preserve">: The evaluations of Alt-1 and Alt-2 show that UL subband over DL symbols can </w:t>
      </w:r>
      <w:r>
        <w:rPr>
          <w:rFonts w:eastAsiaTheme="minorEastAsia"/>
          <w:b/>
          <w:i/>
        </w:rPr>
        <w:t>increase UL throughput and UL UPT, generally at the cost of decreasing the DL throughput and DL UPT, where</w:t>
      </w:r>
    </w:p>
    <w:p w:rsidR="002B1E32" w:rsidRDefault="00400A5F">
      <w:pPr>
        <w:pStyle w:val="ListParagraph"/>
        <w:numPr>
          <w:ilvl w:val="0"/>
          <w:numId w:val="7"/>
        </w:numPr>
        <w:rPr>
          <w:rFonts w:eastAsiaTheme="minorEastAsia"/>
          <w:b/>
          <w:i/>
        </w:rPr>
      </w:pPr>
      <w:r>
        <w:rPr>
          <w:rFonts w:eastAsiaTheme="minorEastAsia"/>
          <w:b/>
          <w:i/>
        </w:rPr>
        <w:lastRenderedPageBreak/>
        <w:t xml:space="preserve">The impacts to DL/UL throughputs almost follow the DL/UL resource ratio; </w:t>
      </w:r>
    </w:p>
    <w:p w:rsidR="002B1E32" w:rsidRDefault="00400A5F">
      <w:pPr>
        <w:pStyle w:val="ListParagraph"/>
        <w:numPr>
          <w:ilvl w:val="0"/>
          <w:numId w:val="7"/>
        </w:numPr>
        <w:rPr>
          <w:rFonts w:eastAsiaTheme="minorEastAsia"/>
          <w:b/>
          <w:i/>
        </w:rPr>
      </w:pPr>
      <w:r>
        <w:rPr>
          <w:rFonts w:eastAsiaTheme="minorEastAsia"/>
          <w:b/>
          <w:i/>
        </w:rPr>
        <w:t xml:space="preserve">The benefit on UL UPT is more outstanding than the one on UL throughput. </w:t>
      </w:r>
    </w:p>
    <w:p w:rsidR="002B1E32" w:rsidRDefault="00400A5F">
      <w:pPr>
        <w:pStyle w:val="Heading1"/>
        <w:rPr>
          <w:rFonts w:eastAsiaTheme="minorEastAsia"/>
          <w:color w:val="000000" w:themeColor="text1"/>
          <w:lang w:eastAsia="zh-CN"/>
        </w:rPr>
      </w:pPr>
      <w:r>
        <w:rPr>
          <w:rFonts w:eastAsiaTheme="minorEastAsia"/>
          <w:color w:val="000000" w:themeColor="text1"/>
          <w:lang w:eastAsia="zh-CN"/>
        </w:rPr>
        <w:t>Conclusion</w:t>
      </w:r>
    </w:p>
    <w:p w:rsidR="002B1E32" w:rsidRDefault="00400A5F">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A40BA8" w:rsidRDefault="00A40BA8" w:rsidP="00A40BA8">
      <w:pPr>
        <w:rPr>
          <w:rFonts w:eastAsiaTheme="minorEastAsia"/>
          <w:b/>
          <w:i/>
        </w:rPr>
      </w:pPr>
      <w:r>
        <w:rPr>
          <w:rFonts w:eastAsiaTheme="minorEastAsia" w:hint="eastAsia"/>
          <w:b/>
          <w:i/>
          <w:lang w:eastAsia="zh-CN"/>
        </w:rPr>
        <w:t>O</w:t>
      </w:r>
      <w:r>
        <w:rPr>
          <w:rFonts w:eastAsiaTheme="minorEastAsia"/>
          <w:b/>
          <w:i/>
          <w:lang w:eastAsia="zh-CN"/>
        </w:rPr>
        <w:t xml:space="preserve">bservation 1: The evaluations of Alt-1 and Alt-2 show that UL subband over DL symbols can </w:t>
      </w:r>
      <w:r>
        <w:rPr>
          <w:rFonts w:eastAsiaTheme="minorEastAsia"/>
          <w:b/>
          <w:i/>
        </w:rPr>
        <w:t>increase UL throughput and UL UPT, generally at the cost of decreasing the DL throughput and DL UPT, where</w:t>
      </w:r>
    </w:p>
    <w:p w:rsidR="00A40BA8" w:rsidRDefault="00A40BA8" w:rsidP="00A40BA8">
      <w:pPr>
        <w:pStyle w:val="ListParagraph"/>
        <w:numPr>
          <w:ilvl w:val="0"/>
          <w:numId w:val="7"/>
        </w:numPr>
        <w:rPr>
          <w:rFonts w:eastAsiaTheme="minorEastAsia"/>
          <w:b/>
          <w:i/>
        </w:rPr>
      </w:pPr>
      <w:r>
        <w:rPr>
          <w:rFonts w:eastAsiaTheme="minorEastAsia"/>
          <w:b/>
          <w:i/>
        </w:rPr>
        <w:t xml:space="preserve">The impacts to DL/UL throughputs almost follow the DL/UL resource ratio; </w:t>
      </w:r>
    </w:p>
    <w:p w:rsidR="00A40BA8" w:rsidRDefault="00A40BA8" w:rsidP="00A40BA8">
      <w:pPr>
        <w:pStyle w:val="ListParagraph"/>
        <w:numPr>
          <w:ilvl w:val="0"/>
          <w:numId w:val="7"/>
        </w:numPr>
        <w:rPr>
          <w:rFonts w:eastAsiaTheme="minorEastAsia"/>
          <w:b/>
          <w:i/>
        </w:rPr>
      </w:pPr>
      <w:r>
        <w:rPr>
          <w:rFonts w:eastAsiaTheme="minorEastAsia"/>
          <w:b/>
          <w:i/>
        </w:rPr>
        <w:t xml:space="preserve">The benefit on UL UPT is more outstanding than the one on UL throughput. </w:t>
      </w:r>
    </w:p>
    <w:p w:rsidR="00A40BA8" w:rsidRPr="00A40BA8" w:rsidRDefault="00A40BA8" w:rsidP="00A40BA8">
      <w:pPr>
        <w:rPr>
          <w:b/>
          <w:i/>
        </w:rPr>
      </w:pPr>
      <w:r w:rsidRPr="00A40BA8">
        <w:rPr>
          <w:rFonts w:eastAsia="SimSun"/>
          <w:b/>
          <w:i/>
        </w:rPr>
        <w:t>Proposal 1: It needs to be discussed whether downlink scheduling could use the resource in uplink subband.</w:t>
      </w:r>
    </w:p>
    <w:p w:rsidR="00A40BA8" w:rsidRDefault="00A40BA8" w:rsidP="00A40BA8">
      <w:pPr>
        <w:rPr>
          <w:b/>
          <w:i/>
          <w:szCs w:val="20"/>
        </w:rPr>
      </w:pPr>
      <w:r>
        <w:rPr>
          <w:b/>
          <w:i/>
          <w:szCs w:val="20"/>
        </w:rPr>
        <w:t>Proposal 2: The ratio of combined traffic volumes over FTP3 arrival rate and packet size between uplink and downlink should reflect the semi-static resource amount ratio between uplink and downlink. The downlink-to-uplink traffic volume ratio of 4:1 can be used given the TDD U/D configuration of “DDDSU”</w:t>
      </w:r>
      <w:r>
        <w:rPr>
          <w:rFonts w:asciiTheme="minorEastAsia" w:eastAsiaTheme="minorEastAsia" w:hAnsiTheme="minorEastAsia"/>
          <w:b/>
          <w:i/>
          <w:szCs w:val="20"/>
          <w:lang w:eastAsia="zh-CN"/>
        </w:rPr>
        <w:t>.</w:t>
      </w:r>
    </w:p>
    <w:p w:rsidR="00A40BA8" w:rsidRPr="00A40BA8" w:rsidRDefault="00A40BA8" w:rsidP="00A40BA8">
      <w:pPr>
        <w:rPr>
          <w:rFonts w:eastAsia="SimSun"/>
          <w:b/>
          <w:i/>
          <w:lang w:eastAsia="zh-CN"/>
        </w:rPr>
      </w:pPr>
      <w:r w:rsidRPr="00A40BA8">
        <w:rPr>
          <w:rFonts w:eastAsia="SimSun" w:hint="eastAsia"/>
          <w:b/>
          <w:i/>
          <w:lang w:eastAsia="zh-CN"/>
        </w:rPr>
        <w:t>P</w:t>
      </w:r>
      <w:r w:rsidRPr="00A40BA8">
        <w:rPr>
          <w:rFonts w:eastAsia="SimSun"/>
          <w:b/>
          <w:i/>
          <w:lang w:eastAsia="zh-CN"/>
        </w:rPr>
        <w:t xml:space="preserve">roposal 3: For dynamic/flexible TDD evaluation, define one non-coexistence deployment case and one coexistence deployment case, each of which runs on single carrier and assumes the same </w:t>
      </w:r>
      <w:r w:rsidRPr="00A40BA8">
        <w:rPr>
          <w:rFonts w:eastAsiaTheme="minorEastAsia"/>
          <w:b/>
          <w:i/>
        </w:rPr>
        <w:t>TDD-UL-DL-ConfigCommon</w:t>
      </w:r>
      <w:r w:rsidRPr="00A40BA8">
        <w:rPr>
          <w:rFonts w:eastAsia="SimSun"/>
          <w:b/>
          <w:i/>
          <w:lang w:eastAsia="zh-CN"/>
        </w:rPr>
        <w:t xml:space="preserve"> across all cells.  </w:t>
      </w:r>
    </w:p>
    <w:p w:rsidR="00A40BA8" w:rsidRDefault="00A40BA8" w:rsidP="00A40BA8">
      <w:pPr>
        <w:pStyle w:val="Heading1"/>
        <w:rPr>
          <w:lang w:eastAsia="zh-CN"/>
        </w:rPr>
      </w:pPr>
      <w:r>
        <w:rPr>
          <w:lang w:eastAsia="zh-CN"/>
        </w:rPr>
        <w:t>Reference</w:t>
      </w:r>
    </w:p>
    <w:p w:rsidR="00A40BA8" w:rsidRDefault="00A40BA8" w:rsidP="00A40BA8">
      <w:pPr>
        <w:numPr>
          <w:ilvl w:val="0"/>
          <w:numId w:val="8"/>
        </w:numPr>
        <w:spacing w:after="0"/>
        <w:jc w:val="both"/>
        <w:rPr>
          <w:color w:val="000000" w:themeColor="text1"/>
        </w:rPr>
      </w:pPr>
      <w:r>
        <w:t>RP-213591 New SI: Study on evolution of NR duplex operation</w:t>
      </w:r>
    </w:p>
    <w:p w:rsidR="00A40BA8" w:rsidRDefault="00A40BA8" w:rsidP="00A40BA8">
      <w:pPr>
        <w:numPr>
          <w:ilvl w:val="0"/>
          <w:numId w:val="8"/>
        </w:numPr>
        <w:spacing w:after="0"/>
        <w:jc w:val="both"/>
        <w:rPr>
          <w:color w:val="000000" w:themeColor="text1"/>
        </w:rPr>
      </w:pPr>
      <w:r>
        <w:rPr>
          <w:color w:val="000000" w:themeColor="text1"/>
        </w:rPr>
        <w:t>TR 38.828 Cross Link Interference (CLI) handling and Remote Interference Management (RIM) for NR</w:t>
      </w:r>
    </w:p>
    <w:p w:rsidR="00A40BA8" w:rsidRDefault="00A40BA8" w:rsidP="00A40BA8">
      <w:pPr>
        <w:numPr>
          <w:ilvl w:val="0"/>
          <w:numId w:val="8"/>
        </w:numPr>
        <w:spacing w:after="0"/>
        <w:jc w:val="both"/>
        <w:rPr>
          <w:color w:val="000000" w:themeColor="text1"/>
        </w:rPr>
      </w:pPr>
      <w:r>
        <w:rPr>
          <w:color w:val="000000" w:themeColor="text1"/>
        </w:rPr>
        <w:t>R1-2204021 Discussion on evaluation on NR duplex evolution</w:t>
      </w:r>
    </w:p>
    <w:p w:rsidR="00A40BA8" w:rsidRDefault="00A40BA8">
      <w:pPr>
        <w:spacing w:after="0" w:line="240" w:lineRule="auto"/>
        <w:rPr>
          <w:rFonts w:eastAsiaTheme="minorEastAsia"/>
          <w:b/>
          <w:bCs/>
          <w:kern w:val="44"/>
          <w:sz w:val="28"/>
          <w:szCs w:val="44"/>
          <w:lang w:eastAsia="zh-CN"/>
        </w:rPr>
      </w:pPr>
      <w:r>
        <w:rPr>
          <w:rFonts w:eastAsiaTheme="minorEastAsia"/>
          <w:lang w:eastAsia="zh-CN"/>
        </w:rPr>
        <w:br w:type="page"/>
      </w:r>
    </w:p>
    <w:p w:rsidR="002B1E32" w:rsidRDefault="00400A5F" w:rsidP="00A40BA8">
      <w:pPr>
        <w:pStyle w:val="Heading1"/>
        <w:numPr>
          <w:ilvl w:val="0"/>
          <w:numId w:val="0"/>
        </w:numPr>
        <w:rPr>
          <w:rFonts w:eastAsiaTheme="minorEastAsia"/>
          <w:lang w:eastAsia="zh-CN"/>
        </w:rPr>
      </w:pPr>
      <w:r>
        <w:rPr>
          <w:rFonts w:eastAsiaTheme="minorEastAsia"/>
          <w:lang w:eastAsia="zh-CN"/>
        </w:rPr>
        <w:t>Appendix</w:t>
      </w:r>
    </w:p>
    <w:p w:rsidR="002B1E32" w:rsidRDefault="00400A5F">
      <w:pPr>
        <w:pStyle w:val="00Text"/>
        <w:jc w:val="center"/>
      </w:pPr>
      <w:r>
        <w:rPr>
          <w:rFonts w:hint="eastAsia"/>
        </w:rPr>
        <w:t>T</w:t>
      </w:r>
      <w:r>
        <w:t xml:space="preserve">able A-1 simulation parameters for </w:t>
      </w:r>
      <w:r>
        <w:rPr>
          <w:color w:val="000000"/>
          <w:szCs w:val="22"/>
        </w:rPr>
        <w:t>SBFD with InH</w:t>
      </w:r>
      <w:r>
        <w:t xml:space="preserve"> </w:t>
      </w:r>
    </w:p>
    <w:tbl>
      <w:tblPr>
        <w:tblW w:w="8800" w:type="dxa"/>
        <w:jc w:val="center"/>
        <w:tblInd w:w="-5" w:type="dxa"/>
        <w:tblLook w:val="04A0"/>
      </w:tblPr>
      <w:tblGrid>
        <w:gridCol w:w="3340"/>
        <w:gridCol w:w="5460"/>
      </w:tblGrid>
      <w:tr w:rsidR="002B1E32" w:rsidTr="00A40BA8">
        <w:trPr>
          <w:trHeight w:val="288"/>
          <w:jc w:val="center"/>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b/>
                <w:bCs/>
                <w:color w:val="000000"/>
                <w:sz w:val="22"/>
                <w:szCs w:val="22"/>
                <w:lang w:eastAsia="zh-CN"/>
              </w:rPr>
            </w:pPr>
            <w:r w:rsidRPr="00A40BA8">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b/>
                <w:bCs/>
                <w:color w:val="000000"/>
                <w:sz w:val="22"/>
                <w:szCs w:val="22"/>
                <w:lang w:eastAsia="zh-CN"/>
              </w:rPr>
            </w:pPr>
            <w:r w:rsidRPr="00A40BA8">
              <w:rPr>
                <w:b/>
                <w:bCs/>
                <w:color w:val="000000"/>
                <w:sz w:val="22"/>
                <w:szCs w:val="22"/>
                <w:lang w:eastAsia="zh-CN"/>
              </w:rPr>
              <w:t>Value</w:t>
            </w:r>
          </w:p>
        </w:tc>
      </w:tr>
      <w:tr w:rsidR="002B1E32" w:rsidTr="00A40BA8">
        <w:trPr>
          <w:trHeight w:val="576"/>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InH(2*6 site)</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20m</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4GHz</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20MHz</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30KHz</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DDDSU/XXXXU/DXXXU</w:t>
            </w:r>
          </w:p>
        </w:tc>
      </w:tr>
      <w:tr w:rsidR="002B1E32" w:rsidTr="00A40BA8">
        <w:trPr>
          <w:trHeight w:val="746"/>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8 TxRU, (M, N, P, Mg, Ng; Mp, Np) = (2,2,2,1,1,2,2)</w:t>
            </w:r>
            <w:r w:rsidRPr="00A40BA8">
              <w:rPr>
                <w:color w:val="000000"/>
                <w:szCs w:val="22"/>
                <w:lang w:eastAsia="zh-CN"/>
              </w:rPr>
              <w:br/>
              <w:t xml:space="preserve"> (dH, dV) = (0.5λ, 0.5λ)</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lastRenderedPageBreak/>
              <w:t>UE Antenna Configuration</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2R, (M, N, P, Mg, Ng; Mp, Np) = (1,1,1,1,1;1,1), (dH, dV) = (0.5, N/A)λ</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51dBm</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3 m for BS and 1.5 m for UE</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5 dB for BS and 9 dB for UE</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3km/h</w:t>
            </w:r>
          </w:p>
        </w:tc>
      </w:tr>
      <w:tr w:rsidR="002B1E32" w:rsidTr="00A40BA8">
        <w:trPr>
          <w:trHeight w:val="288"/>
          <w:jc w:val="center"/>
        </w:trPr>
        <w:tc>
          <w:tcPr>
            <w:tcW w:w="3340" w:type="dxa"/>
            <w:tcBorders>
              <w:top w:val="nil"/>
              <w:left w:val="single" w:sz="4" w:space="0" w:color="auto"/>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tcPr>
          <w:p w:rsidR="002B1E32" w:rsidRPr="00A40BA8" w:rsidRDefault="00400A5F" w:rsidP="00A40BA8">
            <w:pPr>
              <w:spacing w:before="60" w:after="60" w:line="240" w:lineRule="auto"/>
              <w:jc w:val="center"/>
              <w:rPr>
                <w:color w:val="000000"/>
                <w:szCs w:val="22"/>
                <w:lang w:eastAsia="zh-CN"/>
              </w:rPr>
            </w:pPr>
            <w:r w:rsidRPr="00A40BA8">
              <w:rPr>
                <w:color w:val="000000"/>
                <w:szCs w:val="22"/>
                <w:lang w:eastAsia="zh-CN"/>
              </w:rPr>
              <w:t>SU-MIMO+PF</w:t>
            </w:r>
          </w:p>
        </w:tc>
      </w:tr>
    </w:tbl>
    <w:p w:rsidR="002B1E32" w:rsidRDefault="002B1E32" w:rsidP="00A40BA8">
      <w:pPr>
        <w:pStyle w:val="Heading1"/>
        <w:numPr>
          <w:ilvl w:val="0"/>
          <w:numId w:val="0"/>
        </w:numPr>
        <w:rPr>
          <w:color w:val="000000" w:themeColor="text1"/>
        </w:rPr>
      </w:pPr>
    </w:p>
    <w:sectPr w:rsidR="002B1E32" w:rsidSect="002B1E32">
      <w:footerReference w:type="default" r:id="rId7"/>
      <w:pgSz w:w="11906" w:h="16838"/>
      <w:pgMar w:top="1440" w:right="1080" w:bottom="1440" w:left="108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AB0626" w15:done="0"/>
  <w15:commentEx w15:paraId="5F64444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BA8" w:rsidRDefault="00A40BA8">
      <w:pPr>
        <w:spacing w:line="240" w:lineRule="auto"/>
      </w:pPr>
      <w:r>
        <w:separator/>
      </w:r>
    </w:p>
  </w:endnote>
  <w:endnote w:type="continuationSeparator" w:id="0">
    <w:p w:rsidR="00A40BA8" w:rsidRDefault="00A40BA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13751"/>
      <w:docPartObj>
        <w:docPartGallery w:val="Page Numbers (Bottom of Page)"/>
        <w:docPartUnique/>
      </w:docPartObj>
    </w:sdtPr>
    <w:sdtContent>
      <w:p w:rsidR="00A40BA8" w:rsidRDefault="00A40BA8">
        <w:pPr>
          <w:pStyle w:val="Footer"/>
          <w:jc w:val="center"/>
        </w:pPr>
        <w:fldSimple w:instr=" PAGE   \* MERGEFORMAT ">
          <w:r w:rsidR="00B7031E">
            <w:rPr>
              <w:noProof/>
            </w:rPr>
            <w:t>1</w:t>
          </w:r>
        </w:fldSimple>
      </w:p>
    </w:sdtContent>
  </w:sdt>
  <w:p w:rsidR="00A40BA8" w:rsidRDefault="00A40B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BA8" w:rsidRDefault="00A40BA8">
      <w:pPr>
        <w:spacing w:after="0"/>
      </w:pPr>
      <w:r>
        <w:separator/>
      </w:r>
    </w:p>
  </w:footnote>
  <w:footnote w:type="continuationSeparator" w:id="0">
    <w:p w:rsidR="00A40BA8" w:rsidRDefault="00A40BA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C005C"/>
    <w:multiLevelType w:val="multilevel"/>
    <w:tmpl w:val="0CDC005C"/>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
    <w:nsid w:val="17722D4C"/>
    <w:multiLevelType w:val="multilevel"/>
    <w:tmpl w:val="17722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7D327AF"/>
    <w:multiLevelType w:val="multilevel"/>
    <w:tmpl w:val="17D32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5">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4"/>
  </w:num>
  <w:num w:numId="2">
    <w:abstractNumId w:val="5"/>
  </w:num>
  <w:num w:numId="3">
    <w:abstractNumId w:val="7"/>
  </w:num>
  <w:num w:numId="4">
    <w:abstractNumId w:val="3"/>
  </w:num>
  <w:num w:numId="5">
    <w:abstractNumId w:val="2"/>
  </w:num>
  <w:num w:numId="6">
    <w:abstractNumId w:val="1"/>
  </w:num>
  <w:num w:numId="7">
    <w:abstractNumId w:val="0"/>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aa">
    <w15:presenceInfo w15:providerId="None" w15:userId="aa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FEDD7AA3"/>
    <w:rsid w:val="00000A76"/>
    <w:rsid w:val="00006B78"/>
    <w:rsid w:val="00006F09"/>
    <w:rsid w:val="00013118"/>
    <w:rsid w:val="00013297"/>
    <w:rsid w:val="00016D3F"/>
    <w:rsid w:val="0001790B"/>
    <w:rsid w:val="00021987"/>
    <w:rsid w:val="0003093F"/>
    <w:rsid w:val="000319D3"/>
    <w:rsid w:val="000336C0"/>
    <w:rsid w:val="000405AC"/>
    <w:rsid w:val="0004100C"/>
    <w:rsid w:val="0005037E"/>
    <w:rsid w:val="00050A2D"/>
    <w:rsid w:val="00057FB4"/>
    <w:rsid w:val="000645CB"/>
    <w:rsid w:val="00074C14"/>
    <w:rsid w:val="00087415"/>
    <w:rsid w:val="00090D91"/>
    <w:rsid w:val="000A339C"/>
    <w:rsid w:val="000A4992"/>
    <w:rsid w:val="000A68B4"/>
    <w:rsid w:val="000B0226"/>
    <w:rsid w:val="000B4B1E"/>
    <w:rsid w:val="000B6572"/>
    <w:rsid w:val="000C33A4"/>
    <w:rsid w:val="000D0F36"/>
    <w:rsid w:val="000D2C46"/>
    <w:rsid w:val="000D75CB"/>
    <w:rsid w:val="001007A0"/>
    <w:rsid w:val="001008A6"/>
    <w:rsid w:val="00104A27"/>
    <w:rsid w:val="00116517"/>
    <w:rsid w:val="001219C0"/>
    <w:rsid w:val="00127E1D"/>
    <w:rsid w:val="00134FE6"/>
    <w:rsid w:val="0013501B"/>
    <w:rsid w:val="00136529"/>
    <w:rsid w:val="00141273"/>
    <w:rsid w:val="00144254"/>
    <w:rsid w:val="00146747"/>
    <w:rsid w:val="0015306E"/>
    <w:rsid w:val="0015606F"/>
    <w:rsid w:val="001632C5"/>
    <w:rsid w:val="00173728"/>
    <w:rsid w:val="00175F89"/>
    <w:rsid w:val="001769D1"/>
    <w:rsid w:val="00177A76"/>
    <w:rsid w:val="00181819"/>
    <w:rsid w:val="0018182B"/>
    <w:rsid w:val="00184332"/>
    <w:rsid w:val="00184FDB"/>
    <w:rsid w:val="00186DCE"/>
    <w:rsid w:val="00191E39"/>
    <w:rsid w:val="00195922"/>
    <w:rsid w:val="001968FD"/>
    <w:rsid w:val="001A2843"/>
    <w:rsid w:val="001A4D22"/>
    <w:rsid w:val="001A7EF0"/>
    <w:rsid w:val="001B073E"/>
    <w:rsid w:val="001B23DF"/>
    <w:rsid w:val="001B2C3C"/>
    <w:rsid w:val="001B3988"/>
    <w:rsid w:val="001B66FB"/>
    <w:rsid w:val="001C4DF7"/>
    <w:rsid w:val="001D1374"/>
    <w:rsid w:val="001D7582"/>
    <w:rsid w:val="001E6C2C"/>
    <w:rsid w:val="001F04BB"/>
    <w:rsid w:val="001F3361"/>
    <w:rsid w:val="001F5B8D"/>
    <w:rsid w:val="001F63B6"/>
    <w:rsid w:val="001F7DB0"/>
    <w:rsid w:val="002051B0"/>
    <w:rsid w:val="00206225"/>
    <w:rsid w:val="002233FA"/>
    <w:rsid w:val="0023483D"/>
    <w:rsid w:val="00234C6C"/>
    <w:rsid w:val="002400B6"/>
    <w:rsid w:val="00243326"/>
    <w:rsid w:val="002461A0"/>
    <w:rsid w:val="002528C1"/>
    <w:rsid w:val="00254DC0"/>
    <w:rsid w:val="00254E42"/>
    <w:rsid w:val="00255DC7"/>
    <w:rsid w:val="00255E95"/>
    <w:rsid w:val="00266BE2"/>
    <w:rsid w:val="0026704C"/>
    <w:rsid w:val="0027360E"/>
    <w:rsid w:val="00281143"/>
    <w:rsid w:val="00282FC7"/>
    <w:rsid w:val="002B163A"/>
    <w:rsid w:val="002B1E32"/>
    <w:rsid w:val="002B7388"/>
    <w:rsid w:val="002C1A95"/>
    <w:rsid w:val="002C1BE1"/>
    <w:rsid w:val="002D12E9"/>
    <w:rsid w:val="002D1605"/>
    <w:rsid w:val="002D3E09"/>
    <w:rsid w:val="002D4C43"/>
    <w:rsid w:val="002D4CA9"/>
    <w:rsid w:val="002D62BA"/>
    <w:rsid w:val="002D6A8D"/>
    <w:rsid w:val="002E6712"/>
    <w:rsid w:val="002F2DD3"/>
    <w:rsid w:val="002F37AD"/>
    <w:rsid w:val="002F4D49"/>
    <w:rsid w:val="002F5FB2"/>
    <w:rsid w:val="003022D1"/>
    <w:rsid w:val="00303E28"/>
    <w:rsid w:val="00310A5D"/>
    <w:rsid w:val="00320E0B"/>
    <w:rsid w:val="003229C1"/>
    <w:rsid w:val="00324FAB"/>
    <w:rsid w:val="00331C42"/>
    <w:rsid w:val="00341EC3"/>
    <w:rsid w:val="0034431C"/>
    <w:rsid w:val="003475DE"/>
    <w:rsid w:val="00354194"/>
    <w:rsid w:val="00355C49"/>
    <w:rsid w:val="00356532"/>
    <w:rsid w:val="003614C6"/>
    <w:rsid w:val="003626EA"/>
    <w:rsid w:val="0036798C"/>
    <w:rsid w:val="00371F0C"/>
    <w:rsid w:val="00374FAA"/>
    <w:rsid w:val="00375D90"/>
    <w:rsid w:val="003771F9"/>
    <w:rsid w:val="00377597"/>
    <w:rsid w:val="0038625F"/>
    <w:rsid w:val="00391B34"/>
    <w:rsid w:val="00393BDE"/>
    <w:rsid w:val="00397617"/>
    <w:rsid w:val="003A0AA3"/>
    <w:rsid w:val="003A44CB"/>
    <w:rsid w:val="003B2C48"/>
    <w:rsid w:val="003B5ADF"/>
    <w:rsid w:val="003B66A8"/>
    <w:rsid w:val="003C0A73"/>
    <w:rsid w:val="003D326B"/>
    <w:rsid w:val="003F024F"/>
    <w:rsid w:val="003F09B3"/>
    <w:rsid w:val="003F1AD9"/>
    <w:rsid w:val="003F5742"/>
    <w:rsid w:val="003F7684"/>
    <w:rsid w:val="00400A5F"/>
    <w:rsid w:val="004059D1"/>
    <w:rsid w:val="0040608B"/>
    <w:rsid w:val="004073E3"/>
    <w:rsid w:val="00412DB7"/>
    <w:rsid w:val="00421520"/>
    <w:rsid w:val="0042326C"/>
    <w:rsid w:val="004274B4"/>
    <w:rsid w:val="004312C4"/>
    <w:rsid w:val="004358C1"/>
    <w:rsid w:val="0043658B"/>
    <w:rsid w:val="00436A9B"/>
    <w:rsid w:val="0043732B"/>
    <w:rsid w:val="0044049F"/>
    <w:rsid w:val="004416BB"/>
    <w:rsid w:val="00443A24"/>
    <w:rsid w:val="00443AD7"/>
    <w:rsid w:val="00445DF8"/>
    <w:rsid w:val="004509A6"/>
    <w:rsid w:val="00454837"/>
    <w:rsid w:val="0045529C"/>
    <w:rsid w:val="00457CDF"/>
    <w:rsid w:val="00460D97"/>
    <w:rsid w:val="00471A22"/>
    <w:rsid w:val="004733B1"/>
    <w:rsid w:val="004769CB"/>
    <w:rsid w:val="00481FC5"/>
    <w:rsid w:val="00483461"/>
    <w:rsid w:val="0048433D"/>
    <w:rsid w:val="00485AB4"/>
    <w:rsid w:val="004972B3"/>
    <w:rsid w:val="004A13A4"/>
    <w:rsid w:val="004A26BD"/>
    <w:rsid w:val="004B0793"/>
    <w:rsid w:val="004B07BF"/>
    <w:rsid w:val="004C0C5A"/>
    <w:rsid w:val="004D424C"/>
    <w:rsid w:val="004D663C"/>
    <w:rsid w:val="004F1795"/>
    <w:rsid w:val="00505137"/>
    <w:rsid w:val="00514A60"/>
    <w:rsid w:val="0051576B"/>
    <w:rsid w:val="00517DC4"/>
    <w:rsid w:val="005273E5"/>
    <w:rsid w:val="005278B7"/>
    <w:rsid w:val="00530840"/>
    <w:rsid w:val="00534606"/>
    <w:rsid w:val="00534D51"/>
    <w:rsid w:val="005436BF"/>
    <w:rsid w:val="00545729"/>
    <w:rsid w:val="00545E5C"/>
    <w:rsid w:val="005518C1"/>
    <w:rsid w:val="00551FE6"/>
    <w:rsid w:val="00557096"/>
    <w:rsid w:val="005667DB"/>
    <w:rsid w:val="00566B48"/>
    <w:rsid w:val="00584430"/>
    <w:rsid w:val="00590553"/>
    <w:rsid w:val="00590899"/>
    <w:rsid w:val="00592B35"/>
    <w:rsid w:val="0059430F"/>
    <w:rsid w:val="0059578E"/>
    <w:rsid w:val="005A2EA3"/>
    <w:rsid w:val="005A4984"/>
    <w:rsid w:val="005A7E6F"/>
    <w:rsid w:val="005B1455"/>
    <w:rsid w:val="005B1DE4"/>
    <w:rsid w:val="005B38D4"/>
    <w:rsid w:val="005B462C"/>
    <w:rsid w:val="005C01AF"/>
    <w:rsid w:val="005C5216"/>
    <w:rsid w:val="005C6823"/>
    <w:rsid w:val="005D0093"/>
    <w:rsid w:val="005D1AD9"/>
    <w:rsid w:val="005E60E4"/>
    <w:rsid w:val="005F248D"/>
    <w:rsid w:val="005F547C"/>
    <w:rsid w:val="005F5B84"/>
    <w:rsid w:val="00600444"/>
    <w:rsid w:val="00610C3D"/>
    <w:rsid w:val="00617C09"/>
    <w:rsid w:val="00621CBE"/>
    <w:rsid w:val="006256F8"/>
    <w:rsid w:val="00626993"/>
    <w:rsid w:val="00626DA7"/>
    <w:rsid w:val="00630946"/>
    <w:rsid w:val="00632EC8"/>
    <w:rsid w:val="00641D18"/>
    <w:rsid w:val="00643D25"/>
    <w:rsid w:val="00644331"/>
    <w:rsid w:val="00656AD8"/>
    <w:rsid w:val="00660656"/>
    <w:rsid w:val="006728CC"/>
    <w:rsid w:val="006778CD"/>
    <w:rsid w:val="00684808"/>
    <w:rsid w:val="00684AF5"/>
    <w:rsid w:val="00686832"/>
    <w:rsid w:val="00687CCD"/>
    <w:rsid w:val="00690153"/>
    <w:rsid w:val="00692589"/>
    <w:rsid w:val="00693BC6"/>
    <w:rsid w:val="006A3459"/>
    <w:rsid w:val="006A3D33"/>
    <w:rsid w:val="006A45A5"/>
    <w:rsid w:val="006B00BE"/>
    <w:rsid w:val="006B2C37"/>
    <w:rsid w:val="006B312B"/>
    <w:rsid w:val="006B4521"/>
    <w:rsid w:val="006C498F"/>
    <w:rsid w:val="006C590B"/>
    <w:rsid w:val="006C6222"/>
    <w:rsid w:val="006D3B7D"/>
    <w:rsid w:val="006E05F9"/>
    <w:rsid w:val="006E53B9"/>
    <w:rsid w:val="006E7C44"/>
    <w:rsid w:val="006F05DD"/>
    <w:rsid w:val="006F20E0"/>
    <w:rsid w:val="006F6EAD"/>
    <w:rsid w:val="006F6F08"/>
    <w:rsid w:val="00701684"/>
    <w:rsid w:val="00702197"/>
    <w:rsid w:val="00722518"/>
    <w:rsid w:val="007405C9"/>
    <w:rsid w:val="00744F37"/>
    <w:rsid w:val="00745102"/>
    <w:rsid w:val="007473BB"/>
    <w:rsid w:val="00750F9A"/>
    <w:rsid w:val="00755608"/>
    <w:rsid w:val="007572D7"/>
    <w:rsid w:val="00760DFC"/>
    <w:rsid w:val="007629B6"/>
    <w:rsid w:val="007671CA"/>
    <w:rsid w:val="007710B0"/>
    <w:rsid w:val="007743E7"/>
    <w:rsid w:val="00776546"/>
    <w:rsid w:val="00776CDE"/>
    <w:rsid w:val="0078554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F46E6"/>
    <w:rsid w:val="007F5694"/>
    <w:rsid w:val="00800D55"/>
    <w:rsid w:val="00801660"/>
    <w:rsid w:val="00801D55"/>
    <w:rsid w:val="00805428"/>
    <w:rsid w:val="0080657F"/>
    <w:rsid w:val="0081342B"/>
    <w:rsid w:val="008147FC"/>
    <w:rsid w:val="00816F12"/>
    <w:rsid w:val="00817DAF"/>
    <w:rsid w:val="00822BFF"/>
    <w:rsid w:val="00824DD8"/>
    <w:rsid w:val="0083376F"/>
    <w:rsid w:val="0083539F"/>
    <w:rsid w:val="00835732"/>
    <w:rsid w:val="00835DA1"/>
    <w:rsid w:val="00842365"/>
    <w:rsid w:val="008501E5"/>
    <w:rsid w:val="008516C6"/>
    <w:rsid w:val="008523C9"/>
    <w:rsid w:val="00855972"/>
    <w:rsid w:val="0085629D"/>
    <w:rsid w:val="00856AFF"/>
    <w:rsid w:val="00865498"/>
    <w:rsid w:val="00874891"/>
    <w:rsid w:val="00874A66"/>
    <w:rsid w:val="00875397"/>
    <w:rsid w:val="00884803"/>
    <w:rsid w:val="0088569E"/>
    <w:rsid w:val="00887936"/>
    <w:rsid w:val="00890ABD"/>
    <w:rsid w:val="008958FE"/>
    <w:rsid w:val="00897385"/>
    <w:rsid w:val="008A458B"/>
    <w:rsid w:val="008A5F4E"/>
    <w:rsid w:val="008B04A2"/>
    <w:rsid w:val="008B14E3"/>
    <w:rsid w:val="008C2D35"/>
    <w:rsid w:val="008D0127"/>
    <w:rsid w:val="008D48A7"/>
    <w:rsid w:val="008E3BDA"/>
    <w:rsid w:val="008E78AF"/>
    <w:rsid w:val="008F46F2"/>
    <w:rsid w:val="008F58A0"/>
    <w:rsid w:val="008F65BC"/>
    <w:rsid w:val="009004E3"/>
    <w:rsid w:val="009006F8"/>
    <w:rsid w:val="00912074"/>
    <w:rsid w:val="00920C8B"/>
    <w:rsid w:val="00923A20"/>
    <w:rsid w:val="00941E37"/>
    <w:rsid w:val="00942AF0"/>
    <w:rsid w:val="00944DA4"/>
    <w:rsid w:val="00947DD3"/>
    <w:rsid w:val="00951256"/>
    <w:rsid w:val="00954C70"/>
    <w:rsid w:val="009575CF"/>
    <w:rsid w:val="0096008C"/>
    <w:rsid w:val="009617C1"/>
    <w:rsid w:val="009634C3"/>
    <w:rsid w:val="00967F46"/>
    <w:rsid w:val="00982AD6"/>
    <w:rsid w:val="00983B6A"/>
    <w:rsid w:val="0098661F"/>
    <w:rsid w:val="00991F25"/>
    <w:rsid w:val="0099740A"/>
    <w:rsid w:val="00997A6B"/>
    <w:rsid w:val="009A01E4"/>
    <w:rsid w:val="009A2A42"/>
    <w:rsid w:val="009A2AD3"/>
    <w:rsid w:val="009A32F1"/>
    <w:rsid w:val="009A3E0C"/>
    <w:rsid w:val="009A4969"/>
    <w:rsid w:val="009B0EBF"/>
    <w:rsid w:val="009B4C81"/>
    <w:rsid w:val="009B6E57"/>
    <w:rsid w:val="009C6FC3"/>
    <w:rsid w:val="009D04FA"/>
    <w:rsid w:val="009D409A"/>
    <w:rsid w:val="009D435C"/>
    <w:rsid w:val="009D4418"/>
    <w:rsid w:val="009D51CE"/>
    <w:rsid w:val="009E3959"/>
    <w:rsid w:val="009E67DD"/>
    <w:rsid w:val="009F1588"/>
    <w:rsid w:val="009F27DD"/>
    <w:rsid w:val="00A02002"/>
    <w:rsid w:val="00A02C0D"/>
    <w:rsid w:val="00A1066C"/>
    <w:rsid w:val="00A40BA8"/>
    <w:rsid w:val="00A41AB4"/>
    <w:rsid w:val="00A44314"/>
    <w:rsid w:val="00A45443"/>
    <w:rsid w:val="00A472B9"/>
    <w:rsid w:val="00A501EE"/>
    <w:rsid w:val="00A50E6C"/>
    <w:rsid w:val="00A52E9B"/>
    <w:rsid w:val="00A61986"/>
    <w:rsid w:val="00A6370F"/>
    <w:rsid w:val="00A670BD"/>
    <w:rsid w:val="00A7074A"/>
    <w:rsid w:val="00A760DD"/>
    <w:rsid w:val="00A82D6D"/>
    <w:rsid w:val="00A84571"/>
    <w:rsid w:val="00A907B4"/>
    <w:rsid w:val="00AA250F"/>
    <w:rsid w:val="00AB0DE0"/>
    <w:rsid w:val="00AC2679"/>
    <w:rsid w:val="00AC3A5B"/>
    <w:rsid w:val="00AC401A"/>
    <w:rsid w:val="00AC6D3D"/>
    <w:rsid w:val="00AD020B"/>
    <w:rsid w:val="00AD140C"/>
    <w:rsid w:val="00AD15BC"/>
    <w:rsid w:val="00AD4083"/>
    <w:rsid w:val="00AE777C"/>
    <w:rsid w:val="00B06635"/>
    <w:rsid w:val="00B07411"/>
    <w:rsid w:val="00B14007"/>
    <w:rsid w:val="00B1737B"/>
    <w:rsid w:val="00B21AE3"/>
    <w:rsid w:val="00B267E7"/>
    <w:rsid w:val="00B30AC7"/>
    <w:rsid w:val="00B34B54"/>
    <w:rsid w:val="00B35312"/>
    <w:rsid w:val="00B36D26"/>
    <w:rsid w:val="00B44A0F"/>
    <w:rsid w:val="00B4536E"/>
    <w:rsid w:val="00B453FD"/>
    <w:rsid w:val="00B55C4E"/>
    <w:rsid w:val="00B61693"/>
    <w:rsid w:val="00B679F5"/>
    <w:rsid w:val="00B7031E"/>
    <w:rsid w:val="00B75805"/>
    <w:rsid w:val="00B80620"/>
    <w:rsid w:val="00B8646F"/>
    <w:rsid w:val="00B86DA8"/>
    <w:rsid w:val="00B91388"/>
    <w:rsid w:val="00B91C3D"/>
    <w:rsid w:val="00B937D7"/>
    <w:rsid w:val="00BA105C"/>
    <w:rsid w:val="00BA21EF"/>
    <w:rsid w:val="00BA33D7"/>
    <w:rsid w:val="00BA365F"/>
    <w:rsid w:val="00BB58E5"/>
    <w:rsid w:val="00BC54AE"/>
    <w:rsid w:val="00BC78C4"/>
    <w:rsid w:val="00BD14B4"/>
    <w:rsid w:val="00BD246E"/>
    <w:rsid w:val="00BD737A"/>
    <w:rsid w:val="00BE43F3"/>
    <w:rsid w:val="00BE44EF"/>
    <w:rsid w:val="00BE62FC"/>
    <w:rsid w:val="00BF32C7"/>
    <w:rsid w:val="00BF3669"/>
    <w:rsid w:val="00C014C0"/>
    <w:rsid w:val="00C11F39"/>
    <w:rsid w:val="00C14592"/>
    <w:rsid w:val="00C319D0"/>
    <w:rsid w:val="00C3225B"/>
    <w:rsid w:val="00C3332F"/>
    <w:rsid w:val="00C421E9"/>
    <w:rsid w:val="00C5696A"/>
    <w:rsid w:val="00C578A6"/>
    <w:rsid w:val="00C7054F"/>
    <w:rsid w:val="00C7092B"/>
    <w:rsid w:val="00C75E6D"/>
    <w:rsid w:val="00C776B8"/>
    <w:rsid w:val="00C8063B"/>
    <w:rsid w:val="00C845FC"/>
    <w:rsid w:val="00C8655F"/>
    <w:rsid w:val="00C9161D"/>
    <w:rsid w:val="00C927EB"/>
    <w:rsid w:val="00C94232"/>
    <w:rsid w:val="00CA06C5"/>
    <w:rsid w:val="00CA0969"/>
    <w:rsid w:val="00CA64F2"/>
    <w:rsid w:val="00CB1B7E"/>
    <w:rsid w:val="00CB39E1"/>
    <w:rsid w:val="00CB429B"/>
    <w:rsid w:val="00CB4998"/>
    <w:rsid w:val="00CB5401"/>
    <w:rsid w:val="00CB7E20"/>
    <w:rsid w:val="00CC2674"/>
    <w:rsid w:val="00CC64EA"/>
    <w:rsid w:val="00CD0F29"/>
    <w:rsid w:val="00CD6F04"/>
    <w:rsid w:val="00CD6F25"/>
    <w:rsid w:val="00CE0F45"/>
    <w:rsid w:val="00CE3405"/>
    <w:rsid w:val="00CF5910"/>
    <w:rsid w:val="00CF5A42"/>
    <w:rsid w:val="00CF622C"/>
    <w:rsid w:val="00CF74E8"/>
    <w:rsid w:val="00D01184"/>
    <w:rsid w:val="00D017D2"/>
    <w:rsid w:val="00D05224"/>
    <w:rsid w:val="00D0535C"/>
    <w:rsid w:val="00D12358"/>
    <w:rsid w:val="00D13B8F"/>
    <w:rsid w:val="00D14055"/>
    <w:rsid w:val="00D20369"/>
    <w:rsid w:val="00D275DF"/>
    <w:rsid w:val="00D35BB3"/>
    <w:rsid w:val="00D36682"/>
    <w:rsid w:val="00D3787A"/>
    <w:rsid w:val="00D40CD2"/>
    <w:rsid w:val="00D41456"/>
    <w:rsid w:val="00D4293A"/>
    <w:rsid w:val="00D42E58"/>
    <w:rsid w:val="00D46B0A"/>
    <w:rsid w:val="00D517F2"/>
    <w:rsid w:val="00D52588"/>
    <w:rsid w:val="00D66C60"/>
    <w:rsid w:val="00D764A7"/>
    <w:rsid w:val="00D8264A"/>
    <w:rsid w:val="00D8758F"/>
    <w:rsid w:val="00D87CC1"/>
    <w:rsid w:val="00D96F71"/>
    <w:rsid w:val="00DA06F5"/>
    <w:rsid w:val="00DA1F70"/>
    <w:rsid w:val="00DB245F"/>
    <w:rsid w:val="00DB52F3"/>
    <w:rsid w:val="00DB6660"/>
    <w:rsid w:val="00DB6C23"/>
    <w:rsid w:val="00DC20C4"/>
    <w:rsid w:val="00DC6D16"/>
    <w:rsid w:val="00DD36C2"/>
    <w:rsid w:val="00DE0CCF"/>
    <w:rsid w:val="00DF09A1"/>
    <w:rsid w:val="00DF1121"/>
    <w:rsid w:val="00DF3101"/>
    <w:rsid w:val="00E019DD"/>
    <w:rsid w:val="00E01FE2"/>
    <w:rsid w:val="00E06726"/>
    <w:rsid w:val="00E13E34"/>
    <w:rsid w:val="00E13E6F"/>
    <w:rsid w:val="00E15FD3"/>
    <w:rsid w:val="00E17510"/>
    <w:rsid w:val="00E2063E"/>
    <w:rsid w:val="00E30AFA"/>
    <w:rsid w:val="00E33AC1"/>
    <w:rsid w:val="00E33BDF"/>
    <w:rsid w:val="00E40468"/>
    <w:rsid w:val="00E40CD7"/>
    <w:rsid w:val="00E4203C"/>
    <w:rsid w:val="00E420FC"/>
    <w:rsid w:val="00E4340E"/>
    <w:rsid w:val="00E44562"/>
    <w:rsid w:val="00E44B5B"/>
    <w:rsid w:val="00E53FB8"/>
    <w:rsid w:val="00E64F4C"/>
    <w:rsid w:val="00E71561"/>
    <w:rsid w:val="00E7614C"/>
    <w:rsid w:val="00E812C2"/>
    <w:rsid w:val="00E86493"/>
    <w:rsid w:val="00E865DD"/>
    <w:rsid w:val="00E87BD9"/>
    <w:rsid w:val="00E953D6"/>
    <w:rsid w:val="00E96B39"/>
    <w:rsid w:val="00EA2944"/>
    <w:rsid w:val="00EA3B3A"/>
    <w:rsid w:val="00EA4B2B"/>
    <w:rsid w:val="00EA6D47"/>
    <w:rsid w:val="00EB0E85"/>
    <w:rsid w:val="00EB617B"/>
    <w:rsid w:val="00EB7BA4"/>
    <w:rsid w:val="00EC3189"/>
    <w:rsid w:val="00ED37D9"/>
    <w:rsid w:val="00ED4BB3"/>
    <w:rsid w:val="00ED6E02"/>
    <w:rsid w:val="00EE749F"/>
    <w:rsid w:val="00EE7C54"/>
    <w:rsid w:val="00EF4825"/>
    <w:rsid w:val="00EF4CDC"/>
    <w:rsid w:val="00EF586F"/>
    <w:rsid w:val="00EF7715"/>
    <w:rsid w:val="00F116EB"/>
    <w:rsid w:val="00F13DF0"/>
    <w:rsid w:val="00F165F4"/>
    <w:rsid w:val="00F22A39"/>
    <w:rsid w:val="00F25B33"/>
    <w:rsid w:val="00F3243E"/>
    <w:rsid w:val="00F33B90"/>
    <w:rsid w:val="00F34625"/>
    <w:rsid w:val="00F37382"/>
    <w:rsid w:val="00F511FA"/>
    <w:rsid w:val="00F51CED"/>
    <w:rsid w:val="00F55C5F"/>
    <w:rsid w:val="00F572E9"/>
    <w:rsid w:val="00F625D8"/>
    <w:rsid w:val="00F63451"/>
    <w:rsid w:val="00F73348"/>
    <w:rsid w:val="00F755A4"/>
    <w:rsid w:val="00F80085"/>
    <w:rsid w:val="00F80615"/>
    <w:rsid w:val="00F84B61"/>
    <w:rsid w:val="00F851F7"/>
    <w:rsid w:val="00F90DFA"/>
    <w:rsid w:val="00F93387"/>
    <w:rsid w:val="00F952C5"/>
    <w:rsid w:val="00FA1296"/>
    <w:rsid w:val="00FA5F61"/>
    <w:rsid w:val="00FB5F31"/>
    <w:rsid w:val="00FC37C7"/>
    <w:rsid w:val="00FC4944"/>
    <w:rsid w:val="00FC4C7F"/>
    <w:rsid w:val="00FC5735"/>
    <w:rsid w:val="00FC79FD"/>
    <w:rsid w:val="00FD40D6"/>
    <w:rsid w:val="00FE1E7F"/>
    <w:rsid w:val="00FE2562"/>
    <w:rsid w:val="00FF537F"/>
    <w:rsid w:val="0F7AC879"/>
    <w:rsid w:val="5D7218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E32"/>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2B1E32"/>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2B1E32"/>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2B1E32"/>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2B1E32"/>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B1E32"/>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2B1E32"/>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2B1E32"/>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2B1E32"/>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2B1E32"/>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B1E32"/>
    <w:pPr>
      <w:spacing w:after="0"/>
    </w:pPr>
    <w:rPr>
      <w:sz w:val="18"/>
      <w:szCs w:val="18"/>
    </w:rPr>
  </w:style>
  <w:style w:type="paragraph" w:styleId="BodyText">
    <w:name w:val="Body Text"/>
    <w:basedOn w:val="Normal"/>
    <w:link w:val="BodyTextChar"/>
    <w:qFormat/>
    <w:rsid w:val="002B1E32"/>
    <w:pPr>
      <w:jc w:val="both"/>
    </w:pPr>
    <w:rPr>
      <w:rFonts w:eastAsia="MS Mincho"/>
    </w:rPr>
  </w:style>
  <w:style w:type="character" w:styleId="CommentReference">
    <w:name w:val="annotation reference"/>
    <w:qFormat/>
    <w:rsid w:val="002B1E32"/>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2B1E32"/>
    <w:pPr>
      <w:spacing w:after="0"/>
    </w:pPr>
    <w:rPr>
      <w:szCs w:val="20"/>
    </w:rPr>
  </w:style>
  <w:style w:type="paragraph" w:styleId="CommentSubject">
    <w:name w:val="annotation subject"/>
    <w:basedOn w:val="CommentText"/>
    <w:next w:val="CommentText"/>
    <w:link w:val="CommentSubjectChar"/>
    <w:uiPriority w:val="99"/>
    <w:semiHidden/>
    <w:unhideWhenUsed/>
    <w:qFormat/>
    <w:rsid w:val="002B1E32"/>
    <w:pPr>
      <w:spacing w:after="120"/>
    </w:pPr>
    <w:rPr>
      <w:b/>
      <w:bCs/>
      <w:szCs w:val="24"/>
    </w:rPr>
  </w:style>
  <w:style w:type="paragraph" w:styleId="DocumentMap">
    <w:name w:val="Document Map"/>
    <w:basedOn w:val="Normal"/>
    <w:link w:val="DocumentMapChar"/>
    <w:uiPriority w:val="99"/>
    <w:semiHidden/>
    <w:unhideWhenUsed/>
    <w:qFormat/>
    <w:rsid w:val="002B1E32"/>
    <w:pPr>
      <w:spacing w:after="0"/>
    </w:pPr>
    <w:rPr>
      <w:rFonts w:ascii="Tahoma" w:hAnsi="Tahoma" w:cs="Tahoma"/>
      <w:sz w:val="16"/>
      <w:szCs w:val="16"/>
    </w:rPr>
  </w:style>
  <w:style w:type="paragraph" w:styleId="Footer">
    <w:name w:val="footer"/>
    <w:basedOn w:val="Normal"/>
    <w:link w:val="FooterChar"/>
    <w:uiPriority w:val="99"/>
    <w:unhideWhenUsed/>
    <w:qFormat/>
    <w:rsid w:val="002B1E32"/>
    <w:pPr>
      <w:tabs>
        <w:tab w:val="center" w:pos="4153"/>
        <w:tab w:val="right" w:pos="8306"/>
      </w:tabs>
      <w:snapToGrid w:val="0"/>
    </w:pPr>
    <w:rPr>
      <w:sz w:val="18"/>
      <w:szCs w:val="18"/>
    </w:rPr>
  </w:style>
  <w:style w:type="paragraph" w:styleId="Header">
    <w:name w:val="header"/>
    <w:basedOn w:val="Normal"/>
    <w:link w:val="HeaderChar"/>
    <w:qFormat/>
    <w:rsid w:val="002B1E32"/>
    <w:pPr>
      <w:tabs>
        <w:tab w:val="center" w:pos="4536"/>
        <w:tab w:val="right" w:pos="9072"/>
      </w:tabs>
      <w:spacing w:after="0"/>
    </w:pPr>
    <w:rPr>
      <w:rFonts w:ascii="Arial" w:eastAsia="MS Mincho" w:hAnsi="Arial"/>
      <w:b/>
    </w:rPr>
  </w:style>
  <w:style w:type="character" w:styleId="Hyperlink">
    <w:name w:val="Hyperlink"/>
    <w:uiPriority w:val="99"/>
    <w:qFormat/>
    <w:rsid w:val="002B1E32"/>
    <w:rPr>
      <w:color w:val="0000FF"/>
      <w:u w:val="single"/>
    </w:rPr>
  </w:style>
  <w:style w:type="table" w:styleId="TableGrid">
    <w:name w:val="Table Grid"/>
    <w:basedOn w:val="TableNormal"/>
    <w:uiPriority w:val="39"/>
    <w:qFormat/>
    <w:rsid w:val="002B1E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2B1E32"/>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2B1E32"/>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2B1E32"/>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2B1E32"/>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2B1E32"/>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2B1E32"/>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2B1E32"/>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2B1E32"/>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2B1E32"/>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2B1E32"/>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2B1E32"/>
    <w:rPr>
      <w:rFonts w:ascii="Times New Roman" w:eastAsia="MS Mincho" w:hAnsi="Times New Roman" w:cs="Times New Roman"/>
      <w:kern w:val="0"/>
      <w:sz w:val="20"/>
      <w:szCs w:val="24"/>
      <w:lang w:eastAsia="en-US"/>
    </w:rPr>
  </w:style>
  <w:style w:type="paragraph" w:styleId="ListParagraph">
    <w:name w:val="List Paragraph"/>
    <w:basedOn w:val="Normal"/>
    <w:link w:val="ListParagraphChar"/>
    <w:uiPriority w:val="34"/>
    <w:qFormat/>
    <w:rsid w:val="002B1E32"/>
    <w:pPr>
      <w:numPr>
        <w:numId w:val="2"/>
      </w:numPr>
      <w:jc w:val="both"/>
    </w:pPr>
    <w:rPr>
      <w:rFonts w:eastAsia="SimSun" w:cs="SimSun"/>
      <w:szCs w:val="20"/>
      <w:lang w:eastAsia="zh-CN"/>
    </w:rPr>
  </w:style>
  <w:style w:type="character" w:customStyle="1" w:styleId="ListParagraphChar">
    <w:name w:val="List Paragraph Char"/>
    <w:link w:val="ListParagraph"/>
    <w:uiPriority w:val="34"/>
    <w:qFormat/>
    <w:locked/>
    <w:rsid w:val="002B1E32"/>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2B1E32"/>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2B1E32"/>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2B1E32"/>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2B1E32"/>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2B1E32"/>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2B1E32"/>
    <w:rPr>
      <w:color w:val="808080"/>
    </w:rPr>
  </w:style>
  <w:style w:type="paragraph" w:customStyle="1" w:styleId="Agreement">
    <w:name w:val="Agreement"/>
    <w:basedOn w:val="Normal"/>
    <w:qFormat/>
    <w:rsid w:val="002B1E32"/>
    <w:pPr>
      <w:numPr>
        <w:numId w:val="3"/>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2B1E32"/>
    <w:pPr>
      <w:spacing w:after="180" w:line="240" w:lineRule="auto"/>
      <w:ind w:left="568" w:hanging="284"/>
    </w:pPr>
    <w:rPr>
      <w:rFonts w:eastAsia="SimSun"/>
      <w:szCs w:val="20"/>
    </w:rPr>
  </w:style>
  <w:style w:type="character" w:customStyle="1" w:styleId="B1Zchn">
    <w:name w:val="B1 Zchn"/>
    <w:link w:val="B1"/>
    <w:qFormat/>
    <w:rsid w:val="002B1E32"/>
    <w:rPr>
      <w:rFonts w:ascii="Times New Roman" w:eastAsia="SimSun" w:hAnsi="Times New Roman" w:cs="Times New Roman"/>
      <w:lang w:eastAsia="en-US"/>
    </w:rPr>
  </w:style>
  <w:style w:type="paragraph" w:customStyle="1" w:styleId="TAL">
    <w:name w:val="TAL"/>
    <w:basedOn w:val="Normal"/>
    <w:link w:val="TALChar"/>
    <w:qFormat/>
    <w:rsid w:val="002B1E32"/>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2B1E32"/>
    <w:pPr>
      <w:jc w:val="center"/>
    </w:pPr>
  </w:style>
  <w:style w:type="paragraph" w:customStyle="1" w:styleId="TH">
    <w:name w:val="TH"/>
    <w:basedOn w:val="Normal"/>
    <w:link w:val="THChar"/>
    <w:qFormat/>
    <w:rsid w:val="002B1E32"/>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2B1E32"/>
    <w:pPr>
      <w:ind w:left="851" w:hanging="851"/>
    </w:pPr>
  </w:style>
  <w:style w:type="character" w:customStyle="1" w:styleId="THChar">
    <w:name w:val="TH Char"/>
    <w:link w:val="TH"/>
    <w:qFormat/>
    <w:rsid w:val="002B1E32"/>
    <w:rPr>
      <w:rFonts w:ascii="Arial" w:hAnsi="Arial" w:cs="Times New Roman"/>
      <w:b/>
      <w:lang w:val="en-GB" w:eastAsia="en-US"/>
    </w:rPr>
  </w:style>
  <w:style w:type="character" w:customStyle="1" w:styleId="TACChar">
    <w:name w:val="TAC Char"/>
    <w:link w:val="TAC"/>
    <w:qFormat/>
    <w:rsid w:val="002B1E32"/>
    <w:rPr>
      <w:rFonts w:ascii="Arial" w:hAnsi="Arial" w:cs="Times New Roman"/>
      <w:sz w:val="18"/>
      <w:lang w:val="en-GB" w:eastAsia="en-US"/>
    </w:rPr>
  </w:style>
  <w:style w:type="character" w:customStyle="1" w:styleId="TANChar">
    <w:name w:val="TAN Char"/>
    <w:link w:val="TAN"/>
    <w:qFormat/>
    <w:rsid w:val="002B1E32"/>
    <w:rPr>
      <w:rFonts w:ascii="Arial" w:hAnsi="Arial" w:cs="Times New Roman"/>
      <w:sz w:val="18"/>
      <w:lang w:val="en-GB" w:eastAsia="en-US"/>
    </w:rPr>
  </w:style>
  <w:style w:type="character" w:customStyle="1" w:styleId="TALChar">
    <w:name w:val="TAL Char"/>
    <w:link w:val="TAL"/>
    <w:qFormat/>
    <w:rsid w:val="002B1E32"/>
    <w:rPr>
      <w:rFonts w:ascii="Arial" w:hAnsi="Arial" w:cs="Times New Roman"/>
      <w:sz w:val="18"/>
      <w:lang w:val="en-GB" w:eastAsia="en-US"/>
    </w:rPr>
  </w:style>
  <w:style w:type="paragraph" w:customStyle="1" w:styleId="00Text">
    <w:name w:val="00_Text"/>
    <w:basedOn w:val="Normal"/>
    <w:link w:val="00TextChar"/>
    <w:qFormat/>
    <w:rsid w:val="002B1E32"/>
    <w:pPr>
      <w:spacing w:before="120" w:line="264" w:lineRule="auto"/>
      <w:jc w:val="both"/>
    </w:pPr>
    <w:rPr>
      <w:rFonts w:eastAsia="SimSun"/>
      <w:lang w:eastAsia="zh-CN"/>
    </w:rPr>
  </w:style>
  <w:style w:type="character" w:customStyle="1" w:styleId="00TextChar">
    <w:name w:val="00_Text Char"/>
    <w:basedOn w:val="DefaultParagraphFont"/>
    <w:link w:val="00Text"/>
    <w:qFormat/>
    <w:rsid w:val="002B1E32"/>
    <w:rPr>
      <w:rFonts w:ascii="Times New Roman" w:eastAsia="SimSun" w:hAnsi="Times New Roman" w:cs="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6</Pages>
  <Words>1779</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23</cp:revision>
  <dcterms:created xsi:type="dcterms:W3CDTF">2022-08-11T01:35:00Z</dcterms:created>
  <dcterms:modified xsi:type="dcterms:W3CDTF">2022-08-12T03:58:00Z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